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FB2827" w:rsidRDefault="00D32545" w:rsidP="00FB282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</w:t>
      </w:r>
      <w:r w:rsidR="001477B0">
        <w:rPr>
          <w:rFonts w:ascii="Times New Roman" w:hAnsi="Times New Roman" w:cs="Times New Roman"/>
          <w:b/>
          <w:color w:val="auto"/>
          <w:sz w:val="24"/>
          <w:szCs w:val="24"/>
        </w:rPr>
        <w:t>торгов</w:t>
      </w: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продаже имущества, находящегося в собственности муниципального образования Мурашинский муниципальный округ Кировской области</w:t>
      </w:r>
      <w:r w:rsidR="00FB2827"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посредством публичного предложения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Pr="00881947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</w:t>
      </w:r>
      <w:r w:rsidRPr="00881947">
        <w:rPr>
          <w:rFonts w:ascii="Times New Roman" w:hAnsi="Times New Roman" w:cs="Times New Roman"/>
          <w:bCs/>
          <w:sz w:val="24"/>
          <w:szCs w:val="24"/>
        </w:rPr>
        <w:t>Мурашинский муниципальный округ Кировской области.</w:t>
      </w:r>
    </w:p>
    <w:p w:rsidR="00D32545" w:rsidRPr="00881947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88194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94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 проведения торгов</w:t>
      </w:r>
      <w:r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881947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881947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881947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881947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881947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88194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FC3FD7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10.05.2023 № 20/9)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Мурашинского муниципального округа Кировской области от </w:t>
      </w:r>
      <w:r w:rsidR="00880120" w:rsidRPr="0088194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66AEB" w:rsidRPr="0088194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80120" w:rsidRPr="00881947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566AEB" w:rsidRPr="0088194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C5A82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.2023 № </w:t>
      </w:r>
      <w:r w:rsidR="00566AEB" w:rsidRPr="00881947">
        <w:rPr>
          <w:rFonts w:ascii="Times New Roman" w:hAnsi="Times New Roman" w:cs="Times New Roman"/>
          <w:color w:val="auto"/>
          <w:sz w:val="24"/>
          <w:szCs w:val="24"/>
        </w:rPr>
        <w:t>712</w:t>
      </w:r>
      <w:r w:rsidR="00BC5A82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</w:t>
      </w:r>
      <w:r w:rsidR="00FB2827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посредством публичного предложения</w:t>
      </w:r>
      <w:r w:rsidR="00BC5A82" w:rsidRPr="0088194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88194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94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881947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88194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94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88194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 w:rsidRPr="008819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881947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8819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FB2827">
        <w:rPr>
          <w:rFonts w:ascii="Times New Roman" w:hAnsi="Times New Roman" w:cs="Times New Roman"/>
          <w:color w:val="auto"/>
          <w:sz w:val="24"/>
          <w:szCs w:val="24"/>
        </w:rPr>
        <w:t>продажа муниципального имущества посредством публичного предложения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81D34" w:rsidRP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>21</w:t>
      </w:r>
      <w:r w:rsidR="00FB28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</w:t>
      </w:r>
      <w:r w:rsidR="00FB2827">
        <w:rPr>
          <w:rFonts w:ascii="Times New Roman" w:hAnsi="Times New Roman" w:cs="Times New Roman"/>
          <w:b/>
          <w:bCs/>
          <w:color w:val="auto"/>
          <w:sz w:val="24"/>
          <w:szCs w:val="24"/>
        </w:rPr>
        <w:t>ября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2023 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00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1C5A66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381D3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18</w:t>
      </w:r>
      <w:r w:rsid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381D3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дека</w:t>
      </w:r>
      <w:r w:rsid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2023 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381D34" w:rsidRPr="00381D34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18</w:t>
      </w:r>
      <w:r w:rsidR="00FB2827" w:rsidRPr="00381D34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="00381D34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дека</w:t>
      </w:r>
      <w:r w:rsidR="00FB2827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бря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23</w:t>
      </w:r>
      <w:r w:rsidRPr="001C5A66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="00381D34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br/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A21676"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:00.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381D3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19 декабря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2023.</w:t>
      </w:r>
    </w:p>
    <w:p w:rsidR="00D32545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381D34" w:rsidRP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дека</w:t>
      </w:r>
      <w:r w:rsidR="001477B0" w:rsidRP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бря</w:t>
      </w:r>
      <w:r w:rsidRPr="00381D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>2023 в 10:00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Подведение итогов аукциона: процедура аукциона считается завершенной со времени подписания продавцом протокола об итогах </w:t>
      </w:r>
      <w:r w:rsidR="001477B0" w:rsidRPr="001477B0">
        <w:rPr>
          <w:rFonts w:ascii="Times New Roman" w:hAnsi="Times New Roman" w:cs="Times New Roman"/>
          <w:bCs/>
          <w:color w:val="auto"/>
          <w:sz w:val="24"/>
          <w:szCs w:val="24"/>
        </w:rPr>
        <w:t>продажи посредством публичного предложения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1477B0" w:rsidRPr="00D32545" w:rsidRDefault="00D32545" w:rsidP="00880120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Информационное сообщение о проведении </w:t>
      </w:r>
      <w:r w:rsidR="001477B0">
        <w:rPr>
          <w:rFonts w:ascii="Times New Roman" w:eastAsia="Calibri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32545" w:rsidRDefault="00D32545" w:rsidP="00880120">
      <w:pPr>
        <w:pStyle w:val="af4"/>
        <w:numPr>
          <w:ilvl w:val="0"/>
          <w:numId w:val="41"/>
        </w:numPr>
        <w:spacing w:before="240"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5A66" w:rsidTr="00F013F0">
        <w:tc>
          <w:tcPr>
            <w:tcW w:w="10348" w:type="dxa"/>
          </w:tcPr>
          <w:p w:rsidR="00FF3477" w:rsidRDefault="000C5A48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</w:p>
          <w:p w:rsidR="001C5A66" w:rsidRPr="00DC6FF9" w:rsidRDefault="001C5A66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трансформаторная подстанция с кадастровым номером 43:18:310131:548, 1989 года постройки, общая площадь 32,10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1C5A66" w:rsidRPr="00DC6FF9" w:rsidRDefault="001C5A66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Воздушная линия электропередач ВЛ-10кВ в сторону ТП 19 от опор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15 и № 16 РП ЖД 10кВ 1 СШ Ф№5 с кадастровым номером 43:18:310131:771, протяженность 0,017 км;</w:t>
            </w:r>
          </w:p>
          <w:p w:rsidR="001C5A66" w:rsidRPr="00DC6FF9" w:rsidRDefault="001C5A66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Воздушная линия электропередач ВЛ-0,4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 0,7 км;</w:t>
            </w:r>
          </w:p>
          <w:p w:rsidR="001C5A66" w:rsidRDefault="001C5A66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Земельный участок с кадастровым номером 43:18:310131:165, общей площадью 693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, адрес: Российская Федерация, Кировская область, Мурашинский район, г. Мураши, ул. Коммуны, 44в.</w:t>
            </w:r>
          </w:p>
        </w:tc>
      </w:tr>
      <w:tr w:rsidR="001C5A66" w:rsidTr="00F013F0">
        <w:tc>
          <w:tcPr>
            <w:tcW w:w="10348" w:type="dxa"/>
          </w:tcPr>
          <w:p w:rsidR="001C5A66" w:rsidRPr="00FF3477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13.1.1</w:t>
            </w:r>
            <w:r w:rsid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1527C4">
              <w:rPr>
                <w:rFonts w:ascii="Times New Roman" w:hAnsi="Times New Roman" w:cs="Times New Roman"/>
                <w:b/>
                <w:sz w:val="24"/>
                <w:szCs w:val="24"/>
              </w:rPr>
              <w:t>273000</w:t>
            </w:r>
            <w:r w:rsidR="001C5A66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семьдесят три тысячи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копеек, в том числе НДС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13.1.2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13650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тринадцать тысяч шестьсот пятьдесят</w:t>
            </w:r>
            <w:r w:rsidR="001C5A66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9D6CFC" w:rsidRDefault="009D6CFC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нижения первоначального предложения («шаг понижения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»): 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27300 (двадцать семь тысяч триста) рублей 00 копеек.</w:t>
            </w:r>
          </w:p>
          <w:p w:rsidR="009D6CFC" w:rsidRPr="009D6CFC" w:rsidRDefault="009D6CFC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13.1.4.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Минимальна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цена объекта (цена отсечения): 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136500 (сто тридцать шесть тысяч пятьсот) рублей 00 копеек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1C5A66" w:rsidRDefault="00FF3477" w:rsidP="00880120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Существующие ограничения (обременения) права: не зарегистрировано.</w:t>
            </w:r>
          </w:p>
          <w:p w:rsidR="001C5A66" w:rsidRDefault="009D6CFC" w:rsidP="00880120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13.1.6.</w:t>
            </w:r>
            <w:r w:rsidR="00FF3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27300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двадцать семь тысяч триста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C5A66" w:rsidRPr="00DC6FF9" w:rsidRDefault="00FF3477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Продажа данного имущества ранее проводилась</w:t>
            </w:r>
            <w:r w:rsidR="001477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Извещения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</w:t>
            </w:r>
            <w:r w:rsid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00034670000000008 от 28.07.2023, № 21000034670000000011 от 11.10.2023.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27C4" w:rsidTr="001527C4">
        <w:tc>
          <w:tcPr>
            <w:tcW w:w="10479" w:type="dxa"/>
          </w:tcPr>
          <w:p w:rsidR="001527C4" w:rsidRDefault="001527C4" w:rsidP="001527C4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527C4" w:rsidRPr="00DC6FF9" w:rsidRDefault="001527C4" w:rsidP="001527C4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здание подстанции ТП № 20 с кадастровым номером 43:18:310140:336, 1985 года постройки, общая площадь 41,90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1527C4" w:rsidRPr="00DC6FF9" w:rsidRDefault="001527C4" w:rsidP="001527C4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- Воздушная линия электропередач ВЛ-10кВ с кадастровым номером 43:18:000000:384, 1985 год, протяженность 280 м;</w:t>
            </w:r>
          </w:p>
          <w:p w:rsidR="001527C4" w:rsidRPr="00DC6FF9" w:rsidRDefault="001527C4" w:rsidP="001527C4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Воздушная линия электропередач ВЛ-0,4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 0,45 км;</w:t>
            </w:r>
          </w:p>
          <w:p w:rsidR="001527C4" w:rsidRPr="001527C4" w:rsidRDefault="001527C4" w:rsidP="001527C4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Земельный участок с кадастровым номером 43:18:310140:98, общей площадью 119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, адрес: Российская Федерация, Кировская область, Мурашинский район, г. Мураши, ул. Халтурина, 40.</w:t>
            </w:r>
          </w:p>
        </w:tc>
      </w:tr>
      <w:tr w:rsidR="001527C4" w:rsidTr="001527C4">
        <w:tc>
          <w:tcPr>
            <w:tcW w:w="10479" w:type="dxa"/>
          </w:tcPr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267 000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шестьдесят семь тысяч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1527C4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13350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тринадцать тысяч триста пятьдесят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DB524F" w:rsidRDefault="00DB524F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26700 (двадцать шесть тысяч семьсот)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DB524F" w:rsidRPr="00DB524F" w:rsidRDefault="00DB524F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133500 (сто тридцать три тысячи пятьсот) рублей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26700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шесть тысяч семьсот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527C4" w:rsidRDefault="001527C4" w:rsidP="00880120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  <w:r w:rsid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</w:t>
            </w:r>
            <w:r w:rsid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00034670000000008 от 28.07.2023, </w:t>
            </w:r>
            <w:r w:rsidR="00566AEB" w:rsidRP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21000034670000000011 от 11.10.2023.</w:t>
            </w:r>
          </w:p>
        </w:tc>
      </w:tr>
    </w:tbl>
    <w:p w:rsidR="00D70022" w:rsidRDefault="00D70022" w:rsidP="00A21676">
      <w:pPr>
        <w:pStyle w:val="af4"/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2469" w:rsidTr="001A2469">
        <w:tc>
          <w:tcPr>
            <w:tcW w:w="10479" w:type="dxa"/>
          </w:tcPr>
          <w:p w:rsidR="001A2469" w:rsidRDefault="001A2469" w:rsidP="00880120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13.3. </w:t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2469" w:rsidRPr="00DC6FF9" w:rsidRDefault="001A2469" w:rsidP="001A246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трансформаторная подстанция № 37 с кадастровым номером 43:18:310138:492, 1975 года постройки, общая площадь 22,00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1A2469" w:rsidRPr="00DC6FF9" w:rsidRDefault="001A2469" w:rsidP="001A246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- Воздушная линия электропередач ВЛ-10кВ с кадастровым номером 43:18:310138:720, протяженность 115 м;</w:t>
            </w:r>
          </w:p>
          <w:p w:rsidR="001A2469" w:rsidRPr="00DC6FF9" w:rsidRDefault="001A2469" w:rsidP="001A246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Воздушная линия электропередач ВЛ-0,4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 1000 м;</w:t>
            </w:r>
          </w:p>
          <w:p w:rsidR="001A2469" w:rsidRPr="001A2469" w:rsidRDefault="001A2469" w:rsidP="001A246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Земельный участок с кадастровым номером 43:18:310138:185, общей площадью 50 </w:t>
            </w:r>
            <w:proofErr w:type="spellStart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адрес: Российская Федерация, Кировская область, Мурашинский район,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Мураши, ул. Сельхозтехники, 2а.</w:t>
            </w:r>
          </w:p>
        </w:tc>
      </w:tr>
      <w:tr w:rsidR="001A2469" w:rsidTr="001A2469">
        <w:tc>
          <w:tcPr>
            <w:tcW w:w="10479" w:type="dxa"/>
          </w:tcPr>
          <w:p w:rsidR="001A2469" w:rsidRPr="00D32545" w:rsidRDefault="001A2469" w:rsidP="001A2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378 000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семьдесят восемь тысяч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копеек, в том числе НДС.</w:t>
            </w:r>
          </w:p>
          <w:p w:rsidR="001A2469" w:rsidRDefault="001A2469" w:rsidP="001A2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18 900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восемнадцать тысяч девятьсот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DB524F" w:rsidRPr="00DB524F" w:rsidRDefault="00DB524F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Величина снижения первоначального предложения («шаг понижения»):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37800 (тридцать семь тысяч восемьсот) рублей 00 копеек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.</w:t>
            </w:r>
          </w:p>
          <w:p w:rsidR="00DB524F" w:rsidRDefault="00DB524F" w:rsidP="001A2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Минимальная цена объекта (цена отсечения):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189000(сто восемьдесят девять тысяч) рублей 00 копеек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.</w:t>
            </w:r>
          </w:p>
          <w:p w:rsidR="001A2469" w:rsidRPr="00D32545" w:rsidRDefault="001A2469" w:rsidP="001A2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1A2469" w:rsidRPr="00D32545" w:rsidRDefault="001A2469" w:rsidP="001A2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37 800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тридцать семь тысяч восемьсот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A2469" w:rsidRPr="001A2469" w:rsidRDefault="001A2469" w:rsidP="00880120">
            <w:pPr>
              <w:spacing w:after="0" w:line="36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 w:rsid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21000034670000000008 </w:t>
            </w:r>
            <w:r w:rsidR="00DB524F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28.07</w:t>
            </w:r>
            <w:r w:rsid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.2023, </w:t>
            </w:r>
            <w:r w:rsidR="00566AEB" w:rsidRPr="0056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21000034670000000011 от 11.10.2023.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32545" w:rsidRDefault="00D32545" w:rsidP="00BD23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Порядок ознакомления участников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аукциона</w:t>
      </w: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340E87" w:rsidRPr="00340E87">
        <w:rPr>
          <w:rFonts w:ascii="Times New Roman" w:eastAsia="Calibri" w:hAnsi="Times New Roman" w:cs="Times New Roman"/>
          <w:bCs/>
          <w:color w:val="0000FF" w:themeColor="hyperlink"/>
          <w:sz w:val="24"/>
          <w:szCs w:val="24"/>
          <w:u w:val="single"/>
          <w:lang w:eastAsia="en-US"/>
        </w:rPr>
        <w:t xml:space="preserve">https://admmura.gosuslugi.ru/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1" w:history="1"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www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fabrikant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ru</w:t>
        </w:r>
      </w:hyperlink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Условия участия в </w:t>
      </w:r>
      <w:r w:rsidR="00C657D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аукционе</w:t>
      </w: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F43053" w:rsidRDefault="00F43053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Порядок проведения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Процедура продажи в электронной форме проводится в день и </w:t>
      </w:r>
      <w:proofErr w:type="gramStart"/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</w:t>
      </w:r>
      <w:proofErr w:type="gramEnd"/>
      <w:r w:rsidRPr="005847DC">
        <w:rPr>
          <w:rFonts w:ascii="Times New Roman" w:hAnsi="Times New Roman" w:cs="Times New Roman"/>
          <w:color w:val="auto"/>
          <w:sz w:val="24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повышения»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случае,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повышения», время, оставшееся до окончания приема предложений о цене первоначального предложения либо на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5847DC" w:rsidRPr="005847DC" w:rsidRDefault="00F6206F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847DC" w:rsidRPr="005847DC">
        <w:rPr>
          <w:rFonts w:ascii="Times New Roman" w:hAnsi="Times New Roman" w:cs="Times New Roman"/>
          <w:color w:val="auto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цена сделки;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б) принято решение о признании только одного претендента участником;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5847DC" w:rsidRPr="005847DC" w:rsidRDefault="005847DC" w:rsidP="005847DC">
      <w:pPr>
        <w:shd w:val="clear" w:color="auto" w:fill="FFFFFF"/>
        <w:spacing w:after="225" w:line="240" w:lineRule="auto"/>
        <w:rPr>
          <w:rFonts w:ascii="Tahoma" w:hAnsi="Tahoma" w:cs="Tahoma"/>
          <w:color w:val="414141"/>
          <w:sz w:val="20"/>
          <w:szCs w:val="20"/>
        </w:rPr>
      </w:pPr>
      <w:r w:rsidRPr="005847DC">
        <w:rPr>
          <w:rFonts w:ascii="Tahoma" w:hAnsi="Tahoma" w:cs="Tahoma"/>
          <w:color w:val="414141"/>
          <w:sz w:val="20"/>
          <w:szCs w:val="20"/>
        </w:rPr>
        <w:t> </w:t>
      </w:r>
    </w:p>
    <w:p w:rsidR="00D32545" w:rsidRPr="00667347" w:rsidRDefault="00D32545" w:rsidP="00667347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По результатам аукциона продавец (</w:t>
      </w:r>
      <w:r w:rsidR="00566AEB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A54EE9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r w:rsidR="00566AEB" w:rsidRPr="00D32545">
        <w:rPr>
          <w:rFonts w:ascii="Times New Roman" w:hAnsi="Times New Roman" w:cs="Times New Roman"/>
          <w:color w:val="auto"/>
          <w:sz w:val="24"/>
          <w:szCs w:val="24"/>
        </w:rPr>
        <w:t>не возвращается,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 он утрачивает право на заключение указанного договора.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ADD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Оплата имущества покупателем производится в размере, указанном в договоре купли-продажи, в течение 1</w:t>
      </w:r>
      <w:r w:rsidR="005A393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05AD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A393F"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Pr="00D05ADD">
        <w:rPr>
          <w:rFonts w:ascii="Times New Roman" w:hAnsi="Times New Roman" w:cs="Times New Roman"/>
          <w:color w:val="auto"/>
          <w:sz w:val="24"/>
          <w:szCs w:val="24"/>
        </w:rPr>
        <w:t>) рабочих дней с момента подписания сторонами договора купли-продажи имущества.</w:t>
      </w:r>
    </w:p>
    <w:p w:rsidR="00D32545" w:rsidRPr="00D32545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BF1164" w:rsidRPr="00FE1150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BF1164" w:rsidRPr="00FE1150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BF1164" w:rsidRPr="00FE1150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E1328C" w:rsidRPr="00FE1150" w:rsidRDefault="00BF1164" w:rsidP="00E1328C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="00E1328C"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03100643000000014000</w:t>
      </w:r>
    </w:p>
    <w:p w:rsidR="00BF1164" w:rsidRPr="00FE1150" w:rsidRDefault="00BF1164" w:rsidP="00E1328C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BF1164" w:rsidRPr="00FE1150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BF1164" w:rsidRPr="00FE1150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BF1164" w:rsidRPr="00FE1150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BF1164" w:rsidRPr="00FE1150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</w:t>
      </w:r>
      <w:r w:rsidRPr="00FE115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93611402043140000410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A0D" w:rsidRPr="00E23A0D" w:rsidRDefault="00E23A0D" w:rsidP="00E23A0D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23A0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1</w:t>
      </w:r>
      <w:r w:rsidRPr="00E23A0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3A0D">
        <w:rPr>
          <w:rFonts w:ascii="Times New Roman" w:hAnsi="Times New Roman" w:cs="Times New Roman"/>
          <w:b/>
          <w:color w:val="auto"/>
          <w:sz w:val="24"/>
          <w:szCs w:val="24"/>
        </w:rPr>
        <w:t>ЗАЯВКА НА УЧАСТИЕ В АУКЦИОНЕ В ЭЛЕКТРОННОЙ ФОРМЕ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3A0D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 ПОСРЕДСТВОМ ПУБЛИЧНОГО ПРЕДЛОЖЕНИЯ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E23A0D">
        <w:rPr>
          <w:rFonts w:ascii="Times New Roman" w:hAnsi="Times New Roman" w:cs="Times New Roman"/>
          <w:b/>
          <w:color w:val="auto"/>
          <w:lang w:eastAsia="x-none"/>
        </w:rPr>
        <w:t>от «____» ____________2023 года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E23A0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E23A0D">
        <w:rPr>
          <w:rFonts w:ascii="Times New Roman" w:hAnsi="Times New Roman" w:cs="Times New Roman"/>
          <w:b/>
          <w:color w:val="auto"/>
          <w:lang w:eastAsia="x-none"/>
        </w:rPr>
        <w:t>№ ________________имущества, находящегося в собственности муниципального образования Мурашинский муниципальный округ Кировской области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lang w:eastAsia="x-none"/>
        </w:rPr>
      </w:pPr>
      <w:r w:rsidRPr="00E23A0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</w:t>
      </w:r>
      <w:r w:rsidRPr="00E23A0D">
        <w:rPr>
          <w:rFonts w:ascii="Times New Roman" w:hAnsi="Times New Roman" w:cs="Times New Roman"/>
          <w:color w:val="auto"/>
          <w:sz w:val="16"/>
          <w:szCs w:val="16"/>
          <w:lang w:eastAsia="x-none"/>
        </w:rPr>
        <w:t>(номер электронного аукциона)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E23A0D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E23A0D">
        <w:rPr>
          <w:rFonts w:ascii="Times New Roman" w:hAnsi="Times New Roman" w:cs="Times New Roman"/>
          <w:b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b/>
          <w:color w:val="auto"/>
        </w:rPr>
        <w:t>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(ФИО)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E23A0D">
        <w:rPr>
          <w:rFonts w:ascii="Times New Roman" w:hAnsi="Times New Roman" w:cs="Times New Roman"/>
          <w:color w:val="auto"/>
        </w:rPr>
        <w:t>_»_</w:t>
      </w:r>
      <w:proofErr w:type="gramEnd"/>
      <w:r w:rsidRPr="00E23A0D">
        <w:rPr>
          <w:rFonts w:ascii="Times New Roman" w:hAnsi="Times New Roman" w:cs="Times New Roman"/>
          <w:color w:val="auto"/>
        </w:rPr>
        <w:t>________________ года.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E23A0D">
        <w:rPr>
          <w:rFonts w:ascii="Times New Roman" w:hAnsi="Times New Roman" w:cs="Times New Roman"/>
          <w:color w:val="auto"/>
        </w:rPr>
        <w:t>выдан)_</w:t>
      </w:r>
      <w:proofErr w:type="gramEnd"/>
      <w:r w:rsidRPr="00E23A0D">
        <w:rPr>
          <w:rFonts w:ascii="Times New Roman" w:hAnsi="Times New Roman" w:cs="Times New Roman"/>
          <w:color w:val="auto"/>
        </w:rPr>
        <w:t>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  <w:r w:rsidRPr="00E23A0D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Адрес 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E23A0D" w:rsidRPr="00E23A0D" w:rsidRDefault="00E23A0D" w:rsidP="00E23A0D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E23A0D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E23A0D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E23A0D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E23A0D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E23A0D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 xml:space="preserve">действует на основании </w:t>
      </w:r>
      <w:r>
        <w:rPr>
          <w:rFonts w:ascii="Times New Roman" w:hAnsi="Times New Roman" w:cs="Times New Roman"/>
          <w:color w:val="auto"/>
        </w:rPr>
        <w:t>__</w:t>
      </w:r>
      <w:r w:rsidRPr="00E23A0D">
        <w:rPr>
          <w:rFonts w:ascii="Times New Roman" w:hAnsi="Times New Roman" w:cs="Times New Roman"/>
          <w:color w:val="auto"/>
        </w:rPr>
        <w:t>___________________________________________________________________________________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__________________________________________________________________________________________________________________________________________________________________________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23A0D">
        <w:rPr>
          <w:rFonts w:ascii="Times New Roman" w:hAnsi="Times New Roman" w:cs="Times New Roman"/>
          <w:color w:val="auto"/>
          <w:sz w:val="16"/>
          <w:szCs w:val="16"/>
        </w:rPr>
        <w:t>(наименование документа, серия, дата и место выдачи)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E23A0D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юридическоголица____________________________________________________________________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23A0D">
        <w:rPr>
          <w:rFonts w:ascii="Times New Roman" w:hAnsi="Times New Roman" w:cs="Times New Roman"/>
          <w:color w:val="auto"/>
          <w:sz w:val="16"/>
          <w:szCs w:val="16"/>
        </w:rPr>
        <w:t>(наименование, номер, дата регистрации, орган, осуществивший регистрацию)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ИНН______________________________КПП______________________________________________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Должность, ФИО руководителя______________________________</w:t>
      </w:r>
      <w:r>
        <w:rPr>
          <w:rFonts w:ascii="Times New Roman" w:hAnsi="Times New Roman" w:cs="Times New Roman"/>
          <w:color w:val="auto"/>
        </w:rPr>
        <w:t>___________</w:t>
      </w:r>
      <w:r w:rsidRPr="00E23A0D">
        <w:rPr>
          <w:rFonts w:ascii="Times New Roman" w:hAnsi="Times New Roman" w:cs="Times New Roman"/>
          <w:color w:val="auto"/>
        </w:rPr>
        <w:t>________________________________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Юридический адрес_____________________________________________________________</w:t>
      </w:r>
      <w:r>
        <w:rPr>
          <w:rFonts w:ascii="Times New Roman" w:hAnsi="Times New Roman" w:cs="Times New Roman"/>
          <w:color w:val="auto"/>
        </w:rPr>
        <w:t>_________</w:t>
      </w:r>
      <w:r w:rsidRPr="00E23A0D">
        <w:rPr>
          <w:rFonts w:ascii="Times New Roman" w:hAnsi="Times New Roman" w:cs="Times New Roman"/>
          <w:color w:val="auto"/>
        </w:rPr>
        <w:t>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</w:t>
      </w:r>
      <w:r w:rsidRPr="00E23A0D">
        <w:rPr>
          <w:rFonts w:ascii="Times New Roman" w:hAnsi="Times New Roman" w:cs="Times New Roman"/>
          <w:color w:val="auto"/>
        </w:rPr>
        <w:t>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Телефон_________________________ Факс _______________________________________________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E23A0D">
        <w:rPr>
          <w:rFonts w:ascii="Times New Roman" w:hAnsi="Times New Roman" w:cs="Times New Roman"/>
          <w:color w:val="auto"/>
        </w:rPr>
        <w:t>_  «</w:t>
      </w:r>
      <w:proofErr w:type="gramEnd"/>
      <w:r w:rsidRPr="00E23A0D">
        <w:rPr>
          <w:rFonts w:ascii="Times New Roman" w:hAnsi="Times New Roman" w:cs="Times New Roman"/>
          <w:color w:val="auto"/>
        </w:rPr>
        <w:t>____» _________ 20______года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23A0D">
        <w:rPr>
          <w:rFonts w:ascii="Times New Roman" w:hAnsi="Times New Roman" w:cs="Times New Roman"/>
          <w:color w:val="auto"/>
          <w:sz w:val="16"/>
          <w:szCs w:val="16"/>
        </w:rPr>
        <w:t>(наименование документа, серия, номер, дата, кем выдан)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Courier New"/>
          <w:color w:val="auto"/>
          <w:lang w:val="x-none" w:eastAsia="x-none"/>
        </w:rPr>
      </w:pPr>
      <w:r w:rsidRPr="00E23A0D">
        <w:rPr>
          <w:rFonts w:ascii="Times New Roman" w:hAnsi="Times New Roman" w:cs="Courier New"/>
          <w:color w:val="auto"/>
          <w:lang w:eastAsia="x-none"/>
        </w:rPr>
        <w:t>П</w:t>
      </w:r>
      <w:proofErr w:type="spellStart"/>
      <w:r w:rsidRPr="00E23A0D">
        <w:rPr>
          <w:rFonts w:ascii="Times New Roman" w:hAnsi="Times New Roman" w:cs="Courier New"/>
          <w:color w:val="auto"/>
          <w:lang w:val="x-none" w:eastAsia="x-none"/>
        </w:rPr>
        <w:t>ринимая</w:t>
      </w:r>
      <w:proofErr w:type="spellEnd"/>
      <w:r w:rsidRPr="00E23A0D">
        <w:rPr>
          <w:rFonts w:ascii="Times New Roman" w:hAnsi="Times New Roman" w:cs="Courier New"/>
          <w:color w:val="auto"/>
          <w:lang w:val="x-none" w:eastAsia="x-none"/>
        </w:rPr>
        <w:t xml:space="preserve"> решение об участии в аукционе по продаже</w:t>
      </w:r>
      <w:r w:rsidRPr="00E23A0D">
        <w:rPr>
          <w:rFonts w:ascii="Times New Roman" w:hAnsi="Times New Roman" w:cs="Courier New"/>
          <w:color w:val="auto"/>
          <w:lang w:eastAsia="x-none"/>
        </w:rPr>
        <w:t xml:space="preserve"> муниципального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 xml:space="preserve"> имущества </w:t>
      </w:r>
      <w:r w:rsidRPr="00E23A0D">
        <w:rPr>
          <w:rFonts w:ascii="Times New Roman" w:hAnsi="Times New Roman" w:cs="Courier New"/>
          <w:color w:val="auto"/>
          <w:lang w:eastAsia="x-none"/>
        </w:rPr>
        <w:t>муниципального образования Мурашинский муниципальный округ Кировской области посредством публичного предложения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 xml:space="preserve"> - ________________________________________________ (полное наименование продаваемого имущества), расположенн</w:t>
      </w:r>
      <w:r>
        <w:rPr>
          <w:rFonts w:ascii="Times New Roman" w:hAnsi="Times New Roman" w:cs="Courier New"/>
          <w:color w:val="auto"/>
          <w:lang w:val="x-none" w:eastAsia="x-none"/>
        </w:rPr>
        <w:t>ого по адресу: ________</w:t>
      </w:r>
      <w:r>
        <w:rPr>
          <w:rFonts w:ascii="Times New Roman" w:hAnsi="Times New Roman" w:cs="Courier New"/>
          <w:color w:val="auto"/>
          <w:lang w:eastAsia="x-none"/>
        </w:rPr>
        <w:t>____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>_____</w:t>
      </w:r>
      <w:r w:rsidR="00525E80">
        <w:rPr>
          <w:rFonts w:ascii="Times New Roman" w:hAnsi="Times New Roman" w:cs="Courier New"/>
          <w:color w:val="auto"/>
          <w:lang w:val="x-none" w:eastAsia="x-none"/>
        </w:rPr>
        <w:br/>
      </w:r>
      <w:r w:rsidR="00525E80">
        <w:rPr>
          <w:rFonts w:ascii="Times New Roman" w:hAnsi="Times New Roman" w:cs="Courier New"/>
          <w:color w:val="auto"/>
          <w:lang w:eastAsia="x-none"/>
        </w:rPr>
        <w:t>________________________________________________________________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>, начальной стоимостью ________________</w:t>
      </w:r>
      <w:r>
        <w:rPr>
          <w:rFonts w:ascii="Times New Roman" w:hAnsi="Times New Roman" w:cs="Courier New"/>
          <w:color w:val="auto"/>
          <w:lang w:val="x-none" w:eastAsia="x-none"/>
        </w:rPr>
        <w:t>__________________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>________</w:t>
      </w:r>
      <w:r>
        <w:rPr>
          <w:rFonts w:ascii="Times New Roman" w:hAnsi="Times New Roman" w:cs="Courier New"/>
          <w:color w:val="auto"/>
          <w:lang w:eastAsia="x-none"/>
        </w:rPr>
        <w:t>_________</w:t>
      </w:r>
      <w:r w:rsidR="00525E80">
        <w:rPr>
          <w:rFonts w:ascii="Times New Roman" w:hAnsi="Times New Roman" w:cs="Courier New"/>
          <w:color w:val="auto"/>
          <w:lang w:eastAsia="x-none"/>
        </w:rPr>
        <w:t>__________</w:t>
      </w:r>
      <w:r>
        <w:rPr>
          <w:rFonts w:ascii="Times New Roman" w:hAnsi="Times New Roman" w:cs="Courier New"/>
          <w:color w:val="auto"/>
          <w:lang w:eastAsia="x-none"/>
        </w:rPr>
        <w:t>_____</w:t>
      </w:r>
      <w:r w:rsidRPr="00E23A0D">
        <w:rPr>
          <w:rFonts w:ascii="Times New Roman" w:hAnsi="Times New Roman" w:cs="Courier New"/>
          <w:color w:val="auto"/>
          <w:lang w:val="x-none" w:eastAsia="x-none"/>
        </w:rPr>
        <w:t>____ руб., обязуюсь:</w:t>
      </w:r>
    </w:p>
    <w:p w:rsidR="00E23A0D" w:rsidRPr="00E23A0D" w:rsidRDefault="00E23A0D" w:rsidP="00E23A0D">
      <w:pPr>
        <w:spacing w:after="0" w:line="240" w:lineRule="auto"/>
        <w:ind w:firstLine="426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Courier New"/>
          <w:color w:val="auto"/>
        </w:rPr>
        <w:t xml:space="preserve">1) соблюдать условия </w:t>
      </w:r>
      <w:r w:rsidRPr="00E23A0D">
        <w:rPr>
          <w:rFonts w:ascii="Times New Roman" w:hAnsi="Times New Roman" w:cs="Times New Roman"/>
          <w:color w:val="000000"/>
          <w:spacing w:val="4"/>
        </w:rPr>
        <w:t>продажи</w:t>
      </w:r>
      <w:r w:rsidRPr="00E23A0D">
        <w:rPr>
          <w:rFonts w:ascii="Times New Roman" w:hAnsi="Times New Roman" w:cs="Courier New"/>
          <w:color w:val="auto"/>
        </w:rPr>
        <w:t>, содержащиеся в информационном сообщении и в опубликованных изменениях о продаже посредством аукциона имущества, находящегося в собственности Кировской области, размещенном</w:t>
      </w:r>
      <w:r w:rsidRPr="00E23A0D">
        <w:rPr>
          <w:rFonts w:ascii="Times New Roman" w:hAnsi="Times New Roman" w:cs="Times New Roman"/>
          <w:color w:val="auto"/>
        </w:rPr>
        <w:t xml:space="preserve"> на сайтах </w:t>
      </w:r>
      <w:hyperlink r:id="rId12" w:history="1">
        <w:r w:rsidRPr="00E23A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  <w:lang w:eastAsia="en-US"/>
          </w:rPr>
          <w:t>https://мураши-сайт.рф/</w:t>
        </w:r>
      </w:hyperlink>
      <w:r w:rsidRPr="00E23A0D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r w:rsidRPr="00E23A0D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E23A0D">
        <w:rPr>
          <w:rFonts w:ascii="Times New Roman" w:hAnsi="Times New Roman" w:cs="Times New Roman"/>
          <w:color w:val="auto"/>
        </w:rPr>
        <w:t xml:space="preserve">, </w:t>
      </w:r>
      <w:hyperlink r:id="rId14" w:history="1">
        <w:r w:rsidRPr="00E23A0D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E23A0D">
        <w:rPr>
          <w:rFonts w:ascii="Times New Roman" w:hAnsi="Times New Roman" w:cs="Times New Roman"/>
          <w:color w:val="auto"/>
        </w:rPr>
        <w:t xml:space="preserve">,  </w:t>
      </w:r>
      <w:r w:rsidRPr="00E23A0D">
        <w:rPr>
          <w:rFonts w:ascii="Times New Roman" w:hAnsi="Times New Roman" w:cs="Courier New"/>
          <w:color w:val="auto"/>
        </w:rPr>
        <w:t xml:space="preserve">а </w:t>
      </w:r>
      <w:r w:rsidRPr="00E23A0D">
        <w:rPr>
          <w:rFonts w:ascii="Times New Roman" w:hAnsi="Times New Roman" w:cs="Times New Roman"/>
          <w:color w:val="auto"/>
        </w:rPr>
        <w:t xml:space="preserve"> также порядок проведения продажи государственного имущества в электронной форме, установленный действующим законодательством о приватизации. 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 xml:space="preserve">2) в случае признания победителем аукциона по продаже муниципального имущества муниципального образования Мурашинский муниципальный округ Кировской области посредством публичного предложения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</w:t>
      </w:r>
      <w:proofErr w:type="gramStart"/>
      <w:r w:rsidRPr="00E23A0D">
        <w:rPr>
          <w:rFonts w:ascii="Times New Roman" w:hAnsi="Times New Roman" w:cs="Times New Roman"/>
          <w:color w:val="auto"/>
        </w:rPr>
        <w:t>у  Продавца</w:t>
      </w:r>
      <w:proofErr w:type="gramEnd"/>
      <w:r w:rsidRPr="00E23A0D">
        <w:rPr>
          <w:rFonts w:ascii="Times New Roman" w:hAnsi="Times New Roman" w:cs="Times New Roman"/>
          <w:color w:val="auto"/>
        </w:rPr>
        <w:t>, а результаты аукциона аннулируются.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E23A0D" w:rsidRPr="00E23A0D" w:rsidRDefault="00E23A0D" w:rsidP="00E23A0D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23A0D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E23A0D">
        <w:rPr>
          <w:rFonts w:ascii="Times New Roman" w:hAnsi="Times New Roman" w:cs="Times New Roman"/>
          <w:color w:val="auto"/>
        </w:rPr>
        <w:t>ен</w:t>
      </w:r>
      <w:proofErr w:type="spellEnd"/>
      <w:r w:rsidRPr="00E23A0D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E23A0D">
        <w:rPr>
          <w:rFonts w:ascii="Times New Roman" w:hAnsi="Times New Roman" w:cs="Times New Roman"/>
          <w:color w:val="auto"/>
        </w:rPr>
        <w:t>ен</w:t>
      </w:r>
      <w:proofErr w:type="spellEnd"/>
      <w:r w:rsidRPr="00E23A0D">
        <w:rPr>
          <w:rFonts w:ascii="Times New Roman" w:hAnsi="Times New Roman" w:cs="Times New Roman"/>
          <w:color w:val="auto"/>
        </w:rPr>
        <w:t xml:space="preserve"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E23A0D" w:rsidRPr="00E23A0D" w:rsidRDefault="00E23A0D" w:rsidP="00E23A0D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E23A0D" w:rsidRPr="00E23A0D" w:rsidRDefault="00E23A0D" w:rsidP="00E23A0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23A0D">
        <w:rPr>
          <w:rFonts w:ascii="Times New Roman" w:hAnsi="Times New Roman" w:cs="Times New Roman"/>
          <w:color w:val="auto"/>
          <w:sz w:val="20"/>
          <w:szCs w:val="20"/>
        </w:rPr>
        <w:t>«__</w:t>
      </w:r>
      <w:proofErr w:type="gramStart"/>
      <w:r w:rsidRPr="00E23A0D">
        <w:rPr>
          <w:rFonts w:ascii="Times New Roman" w:hAnsi="Times New Roman" w:cs="Times New Roman"/>
          <w:color w:val="auto"/>
          <w:sz w:val="20"/>
          <w:szCs w:val="20"/>
        </w:rPr>
        <w:t>_»_</w:t>
      </w:r>
      <w:proofErr w:type="gramEnd"/>
      <w:r w:rsidRPr="00E23A0D">
        <w:rPr>
          <w:rFonts w:ascii="Times New Roman" w:hAnsi="Times New Roman" w:cs="Times New Roman"/>
          <w:color w:val="auto"/>
          <w:sz w:val="20"/>
          <w:szCs w:val="20"/>
        </w:rPr>
        <w:t>_______________2023 года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23A0D">
        <w:rPr>
          <w:rFonts w:ascii="Times New Roman" w:hAnsi="Times New Roman" w:cs="Times New Roman"/>
          <w:color w:val="auto"/>
          <w:sz w:val="16"/>
          <w:szCs w:val="16"/>
        </w:rPr>
        <w:t>(дата заполнения заявки)</w:t>
      </w:r>
    </w:p>
    <w:p w:rsidR="00E23A0D" w:rsidRPr="00E23A0D" w:rsidRDefault="00E23A0D" w:rsidP="00E23A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23A0D" w:rsidRDefault="00E23A0D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Pr="00525E80" w:rsidRDefault="00525E80" w:rsidP="00525E80">
      <w:pPr>
        <w:spacing w:before="240"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525E80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2</w:t>
      </w:r>
    </w:p>
    <w:p w:rsidR="00525E80" w:rsidRPr="00525E80" w:rsidRDefault="00525E80" w:rsidP="00525E80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525E80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ДОГОВОР</w:t>
      </w: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525E80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купли-продажи </w:t>
      </w:r>
      <w:r w:rsidRPr="00525E80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муниципального </w:t>
      </w:r>
      <w:r w:rsidRPr="00525E80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имущества №_____</w:t>
      </w: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525E80" w:rsidRPr="00525E80" w:rsidTr="00F52006">
        <w:tc>
          <w:tcPr>
            <w:tcW w:w="4644" w:type="dxa"/>
          </w:tcPr>
          <w:p w:rsidR="00525E80" w:rsidRPr="00525E80" w:rsidRDefault="00525E80" w:rsidP="00525E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</w:tcPr>
          <w:p w:rsidR="00525E80" w:rsidRPr="00525E80" w:rsidRDefault="00525E80" w:rsidP="00525E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«____»___________202__ г.</w:t>
            </w:r>
          </w:p>
        </w:tc>
      </w:tr>
    </w:tbl>
    <w:p w:rsidR="00525E80" w:rsidRPr="00525E80" w:rsidRDefault="00525E80" w:rsidP="00525E8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525E80" w:rsidRPr="00525E80" w:rsidRDefault="00525E80" w:rsidP="00525E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области, в лице ________________________________________________________________,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действующе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го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на основании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________________________________________________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 именуем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ое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в дальнейшем «Продавец»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, и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_________________________________________________, именуемый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(</w:t>
      </w:r>
      <w:proofErr w:type="spellStart"/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ая</w:t>
      </w:r>
      <w:proofErr w:type="spellEnd"/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proofErr w:type="spellStart"/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ое</w:t>
      </w:r>
      <w:proofErr w:type="spellEnd"/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) в дальнейшем «Покупатель»,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525E80">
        <w:rPr>
          <w:rFonts w:ascii="Times New Roman" w:hAnsi="Times New Roman" w:cs="Times New Roman"/>
          <w:color w:val="auto"/>
          <w:sz w:val="24"/>
          <w:szCs w:val="24"/>
        </w:rPr>
        <w:t xml:space="preserve">об итогах проведения конкурса от «___»___________202__ г. </w:t>
      </w:r>
      <w:r w:rsidRPr="00525E80">
        <w:rPr>
          <w:rFonts w:ascii="Times New Roman" w:hAnsi="Times New Roman" w:cs="Times New Roman"/>
          <w:color w:val="auto"/>
          <w:sz w:val="24"/>
          <w:szCs w:val="24"/>
        </w:rPr>
        <w:br/>
        <w:t xml:space="preserve">№ _____,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заключили 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настоящий Д</w:t>
      </w:r>
      <w:r w:rsidRPr="00525E80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оговор о нижеследующем:</w:t>
      </w: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b/>
          <w:color w:val="auto"/>
          <w:sz w:val="24"/>
          <w:szCs w:val="24"/>
        </w:rPr>
        <w:t>1. Предмет Договора</w:t>
      </w:r>
    </w:p>
    <w:p w:rsidR="00525E80" w:rsidRPr="00525E80" w:rsidRDefault="00525E80" w:rsidP="00525E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 xml:space="preserve">1.1. Продавец передает, а Покупатель принимает и уплачивает на условиях, изложенных в настоящем Договоре, в порядке приватизации муниципальное имущество муниципального образования Мурашинский муниципальный округ (далее – имущество): </w:t>
      </w:r>
    </w:p>
    <w:p w:rsidR="00525E80" w:rsidRPr="00525E80" w:rsidRDefault="00525E80" w:rsidP="00525E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Муниципальное имущество составляет казну муниципального образования Мурашинский муниципальный округ Кировской области и является системой коммунальной инфраструктуры – комплексом технологически связанных между собой объектов и инженерных сооружений, предназначенных для оказания услуг в сфере электроснабжения.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>Продавец гарантирует, что третьи лица не имеют преимущественного права покупки имущества, право собственности на имущество не оспаривается, имущество под арестом и другими запрещениями не находится</w:t>
      </w:r>
    </w:p>
    <w:p w:rsidR="00525E80" w:rsidRPr="00525E80" w:rsidRDefault="00525E80" w:rsidP="00525E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1.2. Ограничения (обременения) в отношении имущества, устанавливаемые действующим законодательством РФ: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Эксплуатационные обязательства – обязанность поставлять потребителям и абонентам товары, оказывать услуги по регулируемым ценам (тарифам) в соответствии с нормативно –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электроснабжения, осуществляемых в соответствии с инвестиционными программами, утверждаемыми согласно положений Федерального закона от 26.03.2003 № 35-ФЗ «Об электроэнергетике».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Установленные ограничения (обременения) распространяются на все объекты </w:t>
      </w:r>
      <w:proofErr w:type="spellStart"/>
      <w:r w:rsidRPr="00525E80">
        <w:rPr>
          <w:rFonts w:ascii="Times New Roman" w:hAnsi="Times New Roman" w:cs="Times New Roman"/>
          <w:color w:val="auto"/>
          <w:sz w:val="24"/>
          <w:szCs w:val="24"/>
        </w:rPr>
        <w:t>электроэнегетики</w:t>
      </w:r>
      <w:proofErr w:type="spellEnd"/>
      <w:r w:rsidRPr="00525E80">
        <w:rPr>
          <w:rFonts w:ascii="Times New Roman" w:hAnsi="Times New Roman" w:cs="Times New Roman"/>
          <w:color w:val="auto"/>
          <w:sz w:val="24"/>
          <w:szCs w:val="24"/>
        </w:rPr>
        <w:t>, указанные в пункте 1.1 настоящего Договора.</w:t>
      </w: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5E80" w:rsidRPr="00525E80" w:rsidRDefault="00525E80" w:rsidP="00525E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</w:rPr>
        <w:t>2. Цена Договора и порядок расчетов</w:t>
      </w:r>
    </w:p>
    <w:p w:rsidR="00525E80" w:rsidRPr="00525E80" w:rsidRDefault="00525E80" w:rsidP="00525E80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lastRenderedPageBreak/>
        <w:t>2.1. Установленная по результатам конкурса общая стоимость имущества, указанного в пункте 1.1. настоящего Договора, составляет _________________(__________________________) рублей</w:t>
      </w:r>
      <w:r w:rsidRPr="00525E80">
        <w:rPr>
          <w:rFonts w:ascii="Liberation Serif" w:eastAsia="Calibri" w:hAnsi="Liberation Serif" w:cs="Times New Roman"/>
          <w:color w:val="auto"/>
          <w:sz w:val="24"/>
          <w:szCs w:val="24"/>
          <w:lang w:eastAsia="en-US"/>
        </w:rPr>
        <w:t xml:space="preserve">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__ копеек, в том числе НДС. </w:t>
      </w:r>
    </w:p>
    <w:p w:rsidR="00525E80" w:rsidRPr="00525E80" w:rsidRDefault="00525E80" w:rsidP="00525E80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2.2. Задаток в сумме ____________ (________________) рублей ___ копеек, внесенный Покупателем засчитывается в счет оплаты имущества. </w:t>
      </w:r>
    </w:p>
    <w:p w:rsidR="00525E80" w:rsidRPr="00525E80" w:rsidRDefault="00525E80" w:rsidP="00525E80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2.3. За вычетом суммы задатка Покупатель обязан уплатить оставшуюся сумму в размере __________________________(________________) рублей ___ копеек в безналичном порядке по следующим реквизитам: </w:t>
      </w:r>
    </w:p>
    <w:p w:rsidR="00525E80" w:rsidRPr="00525E80" w:rsidRDefault="00525E80" w:rsidP="00525E80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25E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525E80" w:rsidRPr="00525E80" w:rsidRDefault="00525E80" w:rsidP="00525E80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25E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525E80" w:rsidRPr="00525E80" w:rsidRDefault="00525E80" w:rsidP="00525E80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525E80" w:rsidRPr="00525E80" w:rsidRDefault="00525E80" w:rsidP="00525E80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</w:rPr>
        <w:t>03100643000000014000</w:t>
      </w:r>
    </w:p>
    <w:p w:rsidR="00525E80" w:rsidRPr="00525E80" w:rsidRDefault="00525E80" w:rsidP="00525E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525E80" w:rsidRPr="00525E80" w:rsidRDefault="00525E80" w:rsidP="00525E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25E80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525E80" w:rsidRPr="00525E80" w:rsidRDefault="00525E80" w:rsidP="00525E80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5E80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525E80" w:rsidRPr="00525E80" w:rsidRDefault="00525E80" w:rsidP="00525E80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525E80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525E80" w:rsidRPr="00525E80" w:rsidRDefault="00525E80" w:rsidP="00525E80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</w:t>
      </w:r>
      <w:r w:rsidRPr="00525E8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____________________________</w:t>
      </w:r>
    </w:p>
    <w:p w:rsidR="00525E80" w:rsidRPr="00525E80" w:rsidRDefault="00525E80" w:rsidP="00525E8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25E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платежа: </w:t>
      </w:r>
      <w:r w:rsidRPr="00525E8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Оплата по договору купли-продажи муниципального </w:t>
      </w:r>
      <w:proofErr w:type="gramStart"/>
      <w:r w:rsidRPr="00525E8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имущества  №</w:t>
      </w:r>
      <w:proofErr w:type="gramEnd"/>
      <w:r w:rsidRPr="00525E8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от «     »                       20     г. </w:t>
      </w:r>
    </w:p>
    <w:p w:rsidR="00525E80" w:rsidRPr="00525E80" w:rsidRDefault="00525E80" w:rsidP="00525E80">
      <w:pPr>
        <w:spacing w:after="24" w:line="240" w:lineRule="auto"/>
        <w:ind w:firstLine="720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:rsidR="00525E80" w:rsidRPr="00525E80" w:rsidRDefault="00525E80" w:rsidP="00525E80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b/>
          <w:bCs/>
          <w:color w:val="auto"/>
          <w:sz w:val="24"/>
          <w:szCs w:val="24"/>
        </w:rPr>
        <w:t>Сумму налога на добавленную стоимость в размере ________________ (____________) рублей ___ копеек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</w:rPr>
        <w:t xml:space="preserve"> Покупатель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(за исключением физических лиц, не являющихся индивидуальными предпринимателями) 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</w:rPr>
        <w:t>самостоятельно перечисляет в доход бюджета в установленном действующим законодательством порядке отдельным платежным поручением. Указанное платежное поручение с отметкой банка о списании денежных средств Покупатель представляет Продавцу.</w:t>
      </w:r>
    </w:p>
    <w:p w:rsidR="00525E80" w:rsidRPr="00525E80" w:rsidRDefault="00525E80" w:rsidP="00525E80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525E80">
        <w:rPr>
          <w:rFonts w:ascii="Liberation Serif" w:hAnsi="Liberation Serif" w:cs="Times New Roman"/>
          <w:color w:val="000000"/>
          <w:sz w:val="24"/>
          <w:szCs w:val="24"/>
        </w:rPr>
        <w:t xml:space="preserve">2.4. Срок оплаты – в течение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15 (пятнадцати) </w:t>
      </w:r>
      <w:r w:rsidRPr="00525E80">
        <w:rPr>
          <w:rFonts w:ascii="Liberation Serif" w:hAnsi="Liberation Serif" w:cs="Times New Roman"/>
          <w:color w:val="000000"/>
          <w:sz w:val="24"/>
          <w:szCs w:val="24"/>
        </w:rPr>
        <w:t>рабочих дней со дня заключения настоящего Договора. Моментом оплаты считается день зачисления на счет, указанный Продавцом суммы, указанной в п. 2.3. Договора.</w:t>
      </w:r>
    </w:p>
    <w:p w:rsidR="00525E80" w:rsidRPr="00525E80" w:rsidRDefault="00525E80" w:rsidP="00525E80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Факт оплаты имущества подтверждается выпиской со счета Продавца.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3. Передача и переход права собственности на имущество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3.1. Передача имущества Продавцом и принятие его Покупателем оформляется сторонами актом приема-передачи согласно Приложению, не позднее 30 (тридцати) дней после дня полной оплаты стоимости Имущества в соответствии с разделом 2 настоящего Договора.</w:t>
      </w:r>
    </w:p>
    <w:p w:rsidR="00525E80" w:rsidRPr="00525E80" w:rsidRDefault="00525E80" w:rsidP="00525E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3.2. Право собственности Покупателя на движимое имущество не подлежит государственной регистрации и возникает с момента подписания Сторонами акта приема-передачи согласно Приложению. 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Покупатель не вправе до перехода права собственности на Имущество отчуждать его третьим лицам.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3.3. Продавец считается выполнившим свои обязательства по настоящему Договору с момента подписания акта приема-передачи.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3.4.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15" w:history="1">
        <w:r w:rsidRPr="00525E80">
          <w:rPr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разделе 2</w:t>
        </w:r>
      </w:hyperlink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настоящего Договора, принятия имущества от Продавца по акту приема-передачи и выполнения условий конкурса, указанных в разделе 5 настоящего Договора в полном объеме.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lastRenderedPageBreak/>
        <w:t>3.5.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Риск случайной гибели или случайного повреждения имущества переходит на Покупателя с момента передачи Продавцом имущества Покупателю по акту приема-передачи.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4. Права и обязанности Сторон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4.1. Покупатель обязуется: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4.1.1. Полностью оплатить цену имущества в размере, порядке и сроки, установленные </w:t>
      </w:r>
      <w:hyperlink r:id="rId16" w:history="1">
        <w:r w:rsidRPr="00525E80">
          <w:rPr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разделом 2</w:t>
        </w:r>
      </w:hyperlink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Договора.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4.1.2. Принять от Продавца имущество по акту приема-передачи не позднее 30 (тридцати) дней после дня полной оплаты, в порядке, предусмотренном разделом 3 настоящего Договора.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4.1.3. Выполнить в срок и в полном объеме условия конкурса, изложенные в разделе 5 настоящего Договора.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4.1.4. Письменно уведомлять Продавца о своей реорганизации, ликвидации, изменении наименования, об изменении своих почтовых и банковских реквизитов, а также о смене руководителя организации не позднее 10 рабочих дней с момента принятия уполномоченным органом решения о соответствующих изменениях.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4.2. Продавец обязуется: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4.2.1. Передать Покупателю имущество по акту приема-передачи не позднее 30 (тридцати) дней после дня полной оплаты в соответствии с разделом 3 настоящего Договора.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4.2.2. Принимать от Покупателя отчетные документы, подтверждающие выполнение условий конкурса.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4.2.3. Создать комиссию по контролю за выполнением условий конкурса для проведения проверки фактического выполнения условий конкурса.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4.3. 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Покупатель имеет право: 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4.3.1. В случае отказа 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Продавца </w:t>
      </w: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Продавца </w:t>
      </w: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4.3.2. Владеть и пользоваться имуществом в соответствии с его назначением, условиями конкурса и настоящего Договора с даты подписания акта приема-передачи.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4.4. </w:t>
      </w:r>
      <w:r w:rsidRPr="00525E80"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Продавец </w:t>
      </w: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имеет право: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4.4.1. Расторгнуть Договор в случае неполучения денежных средств в размере и в сроки, указанные в разделе 2 Договора.</w:t>
      </w:r>
    </w:p>
    <w:p w:rsidR="00525E80" w:rsidRPr="00525E80" w:rsidRDefault="00525E80" w:rsidP="00525E8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4.4.2. Расторгнуть Договор в случае невыполнения Покупателем условий конкурса, предусмотренных разделом 5 Договора, а также ненадлежащего их выполнения, в том числе нарушения сроков выполнения таких условий и объема их выполнения.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 xml:space="preserve">5. Условия конкурса, порядок их выполнения, подтверждение их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выполнения и контроль за их выполнением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5.1. </w:t>
      </w:r>
      <w:r w:rsidRPr="00525E80">
        <w:rPr>
          <w:rFonts w:ascii="Times New Roman" w:hAnsi="Times New Roman" w:cs="Times New Roman"/>
          <w:color w:val="auto"/>
          <w:sz w:val="24"/>
          <w:szCs w:val="24"/>
        </w:rPr>
        <w:t>Покупатель обеспечивает: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- сохранение целевого назначения объектов электросетевого хозяйства сроком на 5 лет, без права их перепрофилирования;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- бесперебойное предоставление услуг электроснабжения потребителям в соответствии с действующим законодательством и по регулируемым тарифам;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lastRenderedPageBreak/>
        <w:t>- уведомление потребителей при отключении и ограничении электроснабжения, в случае проведения капитального и (или) текущего ремонта, не позднее чем за 24 часа;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- надлежащее техническое обслуживание и эксплуатацию объектов, своевременное выявление и устранение нештатных (аварийных) ситуаций, в соответствии с действующим законодательством;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- представление отчетности, с периодичностью не реже одного раза в год в течение 5 лет о выполнении условий конкурса в срок до 01 марта года, следующего за отчетным;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>- на основании Федерального закона от 06.10.2003 № 131-ФЗ «Об общих принципах организации местного самоуправления в Российской Федерации» для исполнения полномочий органов местного самоуправления в части обеспечения населения уличным освещением, размещение светильников на опорах в составе приватизируемых объектов электросетевого хозяйства без установления дополнительных условий.</w:t>
      </w:r>
    </w:p>
    <w:p w:rsidR="00525E80" w:rsidRPr="00525E80" w:rsidRDefault="00525E80" w:rsidP="0052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E80">
        <w:rPr>
          <w:rFonts w:ascii="Times New Roman" w:hAnsi="Times New Roman" w:cs="Times New Roman"/>
          <w:color w:val="auto"/>
          <w:sz w:val="24"/>
          <w:szCs w:val="24"/>
        </w:rPr>
        <w:t xml:space="preserve"> Продавец не является субъектом электроэнергетики в соответствии с Федеральным законом от 26.03.2003 № 35-ФЗ «Об электроэнергетике». Инвестиционные обязательства по строительству, реконструкции и (или) модернизации объектов и инженерных сооружений, предназначенных для оказания услуг в сфере электроснабжения, устанавливаются инвестиционными программами Покупателя.</w:t>
      </w:r>
    </w:p>
    <w:p w:rsidR="00525E80" w:rsidRPr="00525E80" w:rsidRDefault="00525E80" w:rsidP="00525E8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5.2.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>Срок выполнения условий конкурса – 5 лет.</w:t>
      </w:r>
    </w:p>
    <w:p w:rsidR="00525E80" w:rsidRPr="00525E80" w:rsidRDefault="00525E80" w:rsidP="00525E8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 Порядок подтверждения Покупателем исполнения условий конкурса и контроль за их выполнением.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5.3.1. Покупатель ежегодно предоставляет Продавцу документы, подтверждающие выполнение условий конкурса не позднее 01 марта года, следующего за отчетным периодом.</w:t>
      </w:r>
    </w:p>
    <w:p w:rsidR="00525E80" w:rsidRPr="00525E80" w:rsidRDefault="00525E80" w:rsidP="00525E80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5.3.2. Специально созданная Продавцом комиссия по контролю за выполнением условий конкурса проводит проверку представленных документов, в том числе проверку фактического исполнения условий конкурса в месте расположения проверяемого объекта, в течение 30 (тридцати) дней после предоставления Покупателем отчетных документов.</w:t>
      </w:r>
    </w:p>
    <w:p w:rsidR="00525E80" w:rsidRPr="00525E80" w:rsidRDefault="00525E80" w:rsidP="00525E80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5.3.3. Покупатель обязан устранить выявленные комиссией нарушения выполнения условий конкурса в сроки, определенные по результатам проверки.</w:t>
      </w:r>
    </w:p>
    <w:p w:rsidR="00525E80" w:rsidRPr="00525E80" w:rsidRDefault="00525E80" w:rsidP="00525E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5.3.4. В течение 10 (десяти) рабочих дней с даты истечения срока выполнения условий конкурса Покупатель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525E80" w:rsidRPr="00525E80" w:rsidRDefault="00525E80" w:rsidP="00525E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5.3.5. В течение 2 (двух) месяцев со дня получения сводного (итогового) отчета о выполнении условий конкурса комиссия по контролю за выполнением условий конкурса обязана осуществить проверку фактического выполнения условий конкурса на основании представленного Покупателем сводного (итогового) отчета.</w:t>
      </w:r>
    </w:p>
    <w:p w:rsidR="00525E80" w:rsidRPr="00525E80" w:rsidRDefault="00525E80" w:rsidP="00525E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5.3.6. 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Покупателем условий конкурса, этот акт подписывается всеми членами комиссии, принявшими участие в работе по проверке данных сводного (итогового) отчета.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5.3.7. Обязательства Покупателя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5.3.8. Внесение изменений и дополнений в условия конкурса не допускается, за исключением случаев, предусмотренных статьей 451 Гражданского кодекса Российской Федерации.</w:t>
      </w:r>
    </w:p>
    <w:p w:rsidR="00525E80" w:rsidRPr="00525E80" w:rsidRDefault="00525E80" w:rsidP="00525E8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6. Ответственность Сторон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lastRenderedPageBreak/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от невнесенной суммы за каждый день просрочки.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Просрочка уплаты цены продажи имущества в сумме и в сроки, указанные в </w:t>
      </w:r>
      <w:hyperlink r:id="rId17" w:history="1">
        <w:r w:rsidRPr="00525E80">
          <w:rPr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разделе 2</w:t>
        </w:r>
      </w:hyperlink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Имущество не подлежит отчуждению из собственности муниципального образования,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8" w:history="1">
        <w:r w:rsidRPr="00525E80">
          <w:rPr>
            <w:rFonts w:ascii="Liberation Serif" w:hAnsi="Liberation Serif" w:cs="Times New Roman"/>
            <w:color w:val="auto"/>
            <w:sz w:val="24"/>
            <w:szCs w:val="24"/>
            <w:lang w:eastAsia="zh-CN"/>
          </w:rPr>
          <w:t>пунктом 2 статьи 450</w:t>
        </w:r>
      </w:hyperlink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.1 Гражданского кодекса Российской Федерации считается расторгнутым по соглашению сторон.</w:t>
      </w:r>
    </w:p>
    <w:p w:rsidR="00525E80" w:rsidRPr="00525E80" w:rsidRDefault="00525E80" w:rsidP="00525E80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6.3. В случае гибели или порчи имущества по вине Покупателя при выполнении им условий конкурса, на Покупателя возлагается оплата убытков, причиненных Продавцу действиями Покупателя.</w:t>
      </w:r>
    </w:p>
    <w:p w:rsidR="00525E80" w:rsidRPr="00525E80" w:rsidRDefault="00525E80" w:rsidP="00525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6.4.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5.3. Договора, договор купли-продажи Имущества расторгается по соглашению сторон или в судебном порядке с одновременным взысканием с Покупателя неустойки в размере 5 % от цены имущества, указанной в п. 2.1 настоящего договора. Имущество возвращается в собственность муниципального образования, а полномочия Покупателя в отношении указанного имущества прекращаются. </w:t>
      </w:r>
    </w:p>
    <w:p w:rsidR="00525E80" w:rsidRPr="00525E80" w:rsidRDefault="00525E80" w:rsidP="00525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525E80" w:rsidRPr="00525E80" w:rsidRDefault="00525E80" w:rsidP="00525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6.5. </w:t>
      </w:r>
      <w:r w:rsidRPr="00525E80">
        <w:rPr>
          <w:rFonts w:ascii="Liberation Serif" w:hAnsi="Liberation Serif" w:cs="Times New Roman"/>
          <w:color w:val="auto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решению суда по основаниям, предусмотренным гражданским законодательством. </w:t>
      </w:r>
    </w:p>
    <w:p w:rsidR="00525E80" w:rsidRPr="00525E80" w:rsidRDefault="00525E80" w:rsidP="00525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</w:rPr>
        <w:t>6.6.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525E80" w:rsidRPr="00525E80" w:rsidRDefault="00525E80" w:rsidP="00525E80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525E80" w:rsidRPr="00525E80" w:rsidRDefault="00525E80" w:rsidP="00525E80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b/>
          <w:color w:val="auto"/>
          <w:sz w:val="24"/>
          <w:szCs w:val="24"/>
        </w:rPr>
        <w:t>7. Заключительные положения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7.2.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525E80" w:rsidRPr="00525E80" w:rsidRDefault="00525E80" w:rsidP="00525E80">
      <w:pPr>
        <w:widowControl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7.3. </w:t>
      </w:r>
      <w:r w:rsidRPr="00525E80">
        <w:rPr>
          <w:rFonts w:ascii="Liberation Serif" w:hAnsi="Liberation Serif" w:cs="Times New Roman"/>
          <w:color w:val="auto"/>
          <w:sz w:val="24"/>
          <w:szCs w:val="24"/>
        </w:rPr>
        <w:t xml:space="preserve">Настоящий Договор составлен в трех экземплярах, по одному экземпляру для каждой из сторон настоящего Договора и экземпляр для органа регистрации прав. </w:t>
      </w: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color w:val="auto"/>
          <w:sz w:val="24"/>
          <w:szCs w:val="24"/>
        </w:rPr>
      </w:pPr>
    </w:p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525E80">
        <w:rPr>
          <w:rFonts w:ascii="Liberation Serif" w:hAnsi="Liberation Serif" w:cs="Times New Roman"/>
          <w:b/>
          <w:bCs/>
          <w:color w:val="auto"/>
          <w:sz w:val="24"/>
          <w:szCs w:val="24"/>
        </w:rPr>
        <w:t>8. Р</w:t>
      </w:r>
      <w:r w:rsidRPr="00525E80">
        <w:rPr>
          <w:rFonts w:ascii="Liberation Serif" w:hAnsi="Liberation Serif" w:cs="Times New Roman"/>
          <w:b/>
          <w:color w:val="auto"/>
          <w:sz w:val="24"/>
          <w:szCs w:val="24"/>
        </w:rPr>
        <w:t>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E80" w:rsidRPr="00525E80" w:rsidTr="00F52006">
        <w:tc>
          <w:tcPr>
            <w:tcW w:w="4927" w:type="dxa"/>
            <w:shd w:val="clear" w:color="auto" w:fill="auto"/>
          </w:tcPr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525E80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</w:p>
          <w:p w:rsidR="00525E80" w:rsidRPr="00525E80" w:rsidRDefault="00525E80" w:rsidP="00525E8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525E80" w:rsidRPr="00525E80" w:rsidRDefault="00525E80" w:rsidP="00525E8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Тел./факс</w:t>
            </w:r>
            <w:r w:rsidRPr="00525E8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</w:t>
            </w:r>
            <w:r w:rsidRPr="00525E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(83348) 2-20-95, 2-18-54</w:t>
            </w:r>
          </w:p>
          <w:p w:rsidR="00525E80" w:rsidRPr="00525E80" w:rsidRDefault="00525E80" w:rsidP="00525E8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4318004847 КПП 431801001</w:t>
            </w:r>
          </w:p>
          <w:p w:rsidR="00525E80" w:rsidRPr="00525E80" w:rsidRDefault="00525E80" w:rsidP="00525E8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5E80" w:rsidRPr="00525E80" w:rsidRDefault="00525E80" w:rsidP="00525E8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5E80" w:rsidRPr="00525E80" w:rsidRDefault="00525E80" w:rsidP="00525E8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5E80" w:rsidRPr="00525E80" w:rsidRDefault="00525E80" w:rsidP="00525E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525E80" w:rsidRPr="00525E80" w:rsidRDefault="00525E80" w:rsidP="00525E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5E80" w:rsidRPr="00525E80" w:rsidRDefault="00525E80" w:rsidP="00525E80">
            <w:pPr>
              <w:spacing w:after="0" w:line="259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525E80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Покупатель</w:t>
            </w: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525E80" w:rsidRPr="00525E80" w:rsidRDefault="00525E80" w:rsidP="00525E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525E80" w:rsidRPr="00525E80" w:rsidRDefault="00525E80" w:rsidP="00525E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5E80" w:rsidRPr="00525E80" w:rsidRDefault="00525E80" w:rsidP="00525E8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525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525E80" w:rsidRPr="00525E80" w:rsidRDefault="00525E80" w:rsidP="00525E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color w:val="auto"/>
          <w:sz w:val="24"/>
          <w:szCs w:val="24"/>
        </w:rPr>
      </w:pPr>
    </w:p>
    <w:p w:rsidR="00525E80" w:rsidRPr="00525E80" w:rsidRDefault="00525E80" w:rsidP="00525E80">
      <w:pPr>
        <w:spacing w:after="160" w:line="259" w:lineRule="auto"/>
        <w:rPr>
          <w:rFonts w:eastAsia="Calibri" w:cs="Times New Roman"/>
          <w:color w:val="auto"/>
          <w:lang w:eastAsia="en-US"/>
        </w:rPr>
      </w:pPr>
    </w:p>
    <w:p w:rsidR="00525E80" w:rsidRPr="00D32545" w:rsidRDefault="00525E80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525E80" w:rsidRPr="00D32545" w:rsidSect="001477B0">
      <w:footerReference w:type="default" r:id="rId19"/>
      <w:type w:val="continuous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DA" w:rsidRDefault="007C26DA">
      <w:pPr>
        <w:spacing w:after="0" w:line="240" w:lineRule="auto"/>
      </w:pPr>
      <w:r>
        <w:separator/>
      </w:r>
    </w:p>
  </w:endnote>
  <w:endnote w:type="continuationSeparator" w:id="0">
    <w:p w:rsidR="007C26DA" w:rsidRDefault="007C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DA" w:rsidRDefault="007C26DA">
      <w:pPr>
        <w:spacing w:after="0" w:line="240" w:lineRule="auto"/>
      </w:pPr>
      <w:r>
        <w:separator/>
      </w:r>
    </w:p>
  </w:footnote>
  <w:footnote w:type="continuationSeparator" w:id="0">
    <w:p w:rsidR="007C26DA" w:rsidRDefault="007C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7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2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6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0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6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7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9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30"/>
  </w:num>
  <w:num w:numId="5">
    <w:abstractNumId w:val="31"/>
  </w:num>
  <w:num w:numId="6">
    <w:abstractNumId w:val="19"/>
  </w:num>
  <w:num w:numId="7">
    <w:abstractNumId w:val="8"/>
  </w:num>
  <w:num w:numId="8">
    <w:abstractNumId w:val="4"/>
  </w:num>
  <w:num w:numId="9">
    <w:abstractNumId w:val="33"/>
  </w:num>
  <w:num w:numId="10">
    <w:abstractNumId w:val="23"/>
  </w:num>
  <w:num w:numId="11">
    <w:abstractNumId w:val="13"/>
  </w:num>
  <w:num w:numId="12">
    <w:abstractNumId w:val="20"/>
  </w:num>
  <w:num w:numId="13">
    <w:abstractNumId w:val="28"/>
  </w:num>
  <w:num w:numId="14">
    <w:abstractNumId w:val="32"/>
  </w:num>
  <w:num w:numId="15">
    <w:abstractNumId w:val="21"/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5"/>
  </w:num>
  <w:num w:numId="33">
    <w:abstractNumId w:val="27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  <w:num w:numId="38">
    <w:abstractNumId w:val="2"/>
  </w:num>
  <w:num w:numId="39">
    <w:abstractNumId w:val="5"/>
  </w:num>
  <w:num w:numId="40">
    <w:abstractNumId w:val="26"/>
  </w:num>
  <w:num w:numId="41">
    <w:abstractNumId w:val="11"/>
  </w:num>
  <w:num w:numId="42">
    <w:abstractNumId w:val="1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20FC9"/>
    <w:rsid w:val="0003474F"/>
    <w:rsid w:val="0004731C"/>
    <w:rsid w:val="00053FD1"/>
    <w:rsid w:val="00086DA4"/>
    <w:rsid w:val="00087897"/>
    <w:rsid w:val="00092C03"/>
    <w:rsid w:val="000C5A48"/>
    <w:rsid w:val="000C7136"/>
    <w:rsid w:val="000D7B90"/>
    <w:rsid w:val="000E4211"/>
    <w:rsid w:val="000E645E"/>
    <w:rsid w:val="000E6637"/>
    <w:rsid w:val="000F357C"/>
    <w:rsid w:val="00101241"/>
    <w:rsid w:val="001014F7"/>
    <w:rsid w:val="001154C7"/>
    <w:rsid w:val="00133149"/>
    <w:rsid w:val="001477B0"/>
    <w:rsid w:val="001527C4"/>
    <w:rsid w:val="001A2469"/>
    <w:rsid w:val="001A3088"/>
    <w:rsid w:val="001C57E3"/>
    <w:rsid w:val="001C5A66"/>
    <w:rsid w:val="001E4B30"/>
    <w:rsid w:val="002048B4"/>
    <w:rsid w:val="00210A3F"/>
    <w:rsid w:val="002401BF"/>
    <w:rsid w:val="0024133E"/>
    <w:rsid w:val="002867A2"/>
    <w:rsid w:val="00286ABB"/>
    <w:rsid w:val="002D3A1C"/>
    <w:rsid w:val="002D5636"/>
    <w:rsid w:val="002F2020"/>
    <w:rsid w:val="003107E4"/>
    <w:rsid w:val="00310AE6"/>
    <w:rsid w:val="00340E87"/>
    <w:rsid w:val="00352786"/>
    <w:rsid w:val="00381D34"/>
    <w:rsid w:val="003858D9"/>
    <w:rsid w:val="003950EA"/>
    <w:rsid w:val="003F0FFF"/>
    <w:rsid w:val="003F2EB8"/>
    <w:rsid w:val="00407805"/>
    <w:rsid w:val="004372C2"/>
    <w:rsid w:val="00441B05"/>
    <w:rsid w:val="00447956"/>
    <w:rsid w:val="00450E69"/>
    <w:rsid w:val="00462D75"/>
    <w:rsid w:val="00466A4B"/>
    <w:rsid w:val="004A4AB2"/>
    <w:rsid w:val="004C667E"/>
    <w:rsid w:val="004D113C"/>
    <w:rsid w:val="004D237A"/>
    <w:rsid w:val="004D5B6D"/>
    <w:rsid w:val="004F3A50"/>
    <w:rsid w:val="00500369"/>
    <w:rsid w:val="005022D3"/>
    <w:rsid w:val="005023AE"/>
    <w:rsid w:val="00504BAD"/>
    <w:rsid w:val="00510AA1"/>
    <w:rsid w:val="00525E80"/>
    <w:rsid w:val="0054349B"/>
    <w:rsid w:val="005479CC"/>
    <w:rsid w:val="00557821"/>
    <w:rsid w:val="00566AEB"/>
    <w:rsid w:val="00567D7A"/>
    <w:rsid w:val="005709FE"/>
    <w:rsid w:val="005847DC"/>
    <w:rsid w:val="00584ED3"/>
    <w:rsid w:val="005A393F"/>
    <w:rsid w:val="005A790F"/>
    <w:rsid w:val="005C5116"/>
    <w:rsid w:val="005C6E9F"/>
    <w:rsid w:val="006017D0"/>
    <w:rsid w:val="00613AC8"/>
    <w:rsid w:val="0062142A"/>
    <w:rsid w:val="00632D6A"/>
    <w:rsid w:val="00667347"/>
    <w:rsid w:val="006752EA"/>
    <w:rsid w:val="0069504A"/>
    <w:rsid w:val="00696A66"/>
    <w:rsid w:val="006B5FA2"/>
    <w:rsid w:val="006D38A5"/>
    <w:rsid w:val="006D4C7C"/>
    <w:rsid w:val="006E49D2"/>
    <w:rsid w:val="006E4F74"/>
    <w:rsid w:val="006F026D"/>
    <w:rsid w:val="007054C8"/>
    <w:rsid w:val="00717613"/>
    <w:rsid w:val="007249DF"/>
    <w:rsid w:val="00727471"/>
    <w:rsid w:val="00737C01"/>
    <w:rsid w:val="00771F16"/>
    <w:rsid w:val="00773FDD"/>
    <w:rsid w:val="00784298"/>
    <w:rsid w:val="007B7B60"/>
    <w:rsid w:val="007C26DA"/>
    <w:rsid w:val="007C5AD0"/>
    <w:rsid w:val="007D0F31"/>
    <w:rsid w:val="007D4E5D"/>
    <w:rsid w:val="007E0423"/>
    <w:rsid w:val="007E3842"/>
    <w:rsid w:val="007F0936"/>
    <w:rsid w:val="0081002B"/>
    <w:rsid w:val="00810EE3"/>
    <w:rsid w:val="00821DC1"/>
    <w:rsid w:val="00825D4F"/>
    <w:rsid w:val="00836FBF"/>
    <w:rsid w:val="0084230E"/>
    <w:rsid w:val="00866DB6"/>
    <w:rsid w:val="00880120"/>
    <w:rsid w:val="00881947"/>
    <w:rsid w:val="00895760"/>
    <w:rsid w:val="008958FE"/>
    <w:rsid w:val="008A3760"/>
    <w:rsid w:val="008A7B8B"/>
    <w:rsid w:val="008B7693"/>
    <w:rsid w:val="008D4B2C"/>
    <w:rsid w:val="008F27A7"/>
    <w:rsid w:val="0090309E"/>
    <w:rsid w:val="00911FD7"/>
    <w:rsid w:val="009242CB"/>
    <w:rsid w:val="00941356"/>
    <w:rsid w:val="009504C3"/>
    <w:rsid w:val="00955B3E"/>
    <w:rsid w:val="00975431"/>
    <w:rsid w:val="00986CCF"/>
    <w:rsid w:val="009B2284"/>
    <w:rsid w:val="009C599D"/>
    <w:rsid w:val="009D1D0E"/>
    <w:rsid w:val="009D6CFC"/>
    <w:rsid w:val="00A000BF"/>
    <w:rsid w:val="00A063B4"/>
    <w:rsid w:val="00A21676"/>
    <w:rsid w:val="00A24FA0"/>
    <w:rsid w:val="00A329E8"/>
    <w:rsid w:val="00A33E89"/>
    <w:rsid w:val="00A422F7"/>
    <w:rsid w:val="00A54EE9"/>
    <w:rsid w:val="00A62F55"/>
    <w:rsid w:val="00A913FD"/>
    <w:rsid w:val="00AB5E8E"/>
    <w:rsid w:val="00AB7772"/>
    <w:rsid w:val="00AE486B"/>
    <w:rsid w:val="00AE75F5"/>
    <w:rsid w:val="00AF124D"/>
    <w:rsid w:val="00B036C7"/>
    <w:rsid w:val="00B3448E"/>
    <w:rsid w:val="00B36948"/>
    <w:rsid w:val="00B40A98"/>
    <w:rsid w:val="00B469BF"/>
    <w:rsid w:val="00B70B45"/>
    <w:rsid w:val="00B72757"/>
    <w:rsid w:val="00B90B89"/>
    <w:rsid w:val="00B9112B"/>
    <w:rsid w:val="00BA2211"/>
    <w:rsid w:val="00BB2C64"/>
    <w:rsid w:val="00BC5A82"/>
    <w:rsid w:val="00BD2325"/>
    <w:rsid w:val="00BF1164"/>
    <w:rsid w:val="00C05D0F"/>
    <w:rsid w:val="00C11E32"/>
    <w:rsid w:val="00C271A7"/>
    <w:rsid w:val="00C3215A"/>
    <w:rsid w:val="00C45FDE"/>
    <w:rsid w:val="00C55B77"/>
    <w:rsid w:val="00C56B52"/>
    <w:rsid w:val="00C657D8"/>
    <w:rsid w:val="00C97A4C"/>
    <w:rsid w:val="00CA630B"/>
    <w:rsid w:val="00CA640D"/>
    <w:rsid w:val="00CF6B8D"/>
    <w:rsid w:val="00D05ADD"/>
    <w:rsid w:val="00D32545"/>
    <w:rsid w:val="00D4175A"/>
    <w:rsid w:val="00D41C9A"/>
    <w:rsid w:val="00D47992"/>
    <w:rsid w:val="00D53B99"/>
    <w:rsid w:val="00D70022"/>
    <w:rsid w:val="00D71318"/>
    <w:rsid w:val="00D72696"/>
    <w:rsid w:val="00D75A47"/>
    <w:rsid w:val="00D85B4B"/>
    <w:rsid w:val="00D87450"/>
    <w:rsid w:val="00DB2DB1"/>
    <w:rsid w:val="00DB524F"/>
    <w:rsid w:val="00DC1166"/>
    <w:rsid w:val="00DC6FF9"/>
    <w:rsid w:val="00DC75D6"/>
    <w:rsid w:val="00DD4C98"/>
    <w:rsid w:val="00E1328C"/>
    <w:rsid w:val="00E23A0D"/>
    <w:rsid w:val="00E30797"/>
    <w:rsid w:val="00E7433D"/>
    <w:rsid w:val="00E84B30"/>
    <w:rsid w:val="00E9194E"/>
    <w:rsid w:val="00E94968"/>
    <w:rsid w:val="00EB274A"/>
    <w:rsid w:val="00F013F0"/>
    <w:rsid w:val="00F12599"/>
    <w:rsid w:val="00F12DD3"/>
    <w:rsid w:val="00F40ACD"/>
    <w:rsid w:val="00F40C8E"/>
    <w:rsid w:val="00F43053"/>
    <w:rsid w:val="00F52B19"/>
    <w:rsid w:val="00F565FA"/>
    <w:rsid w:val="00F6206F"/>
    <w:rsid w:val="00F65256"/>
    <w:rsid w:val="00F70D45"/>
    <w:rsid w:val="00F87514"/>
    <w:rsid w:val="00FB0BC6"/>
    <w:rsid w:val="00FB2827"/>
    <w:rsid w:val="00FB458D"/>
    <w:rsid w:val="00FB6F39"/>
    <w:rsid w:val="00FC3FD7"/>
    <w:rsid w:val="00FE0044"/>
    <w:rsid w:val="00FE1150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86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main?base=LAW;n=102067;fld=134;dst=10213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84;&#1091;&#1088;&#1072;&#1096;&#1080;-&#1089;&#1072;&#1081;&#1090;.&#1088;&#1092;/" TargetMode="External"/><Relationship Id="rId1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01;n=21408;fld=134;dst=1001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01;n=21408;fld=134;dst=100153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E9E3-F296-468A-B318-076BB32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7520</Words>
  <Characters>42865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Заведующий ОИЗО</cp:lastModifiedBy>
  <cp:revision>2</cp:revision>
  <cp:lastPrinted>2023-11-15T13:42:00Z</cp:lastPrinted>
  <dcterms:created xsi:type="dcterms:W3CDTF">2023-11-17T11:50:00Z</dcterms:created>
  <dcterms:modified xsi:type="dcterms:W3CDTF">2023-11-17T11:50:00Z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