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229" w:type="dxa"/>
        <w:tblInd w:w="-54" w:type="dxa"/>
        <w:tblLayout w:type="fixed"/>
        <w:tblCellMar>
          <w:top w:w="0" w:type="dxa"/>
          <w:left w:w="0" w:type="dxa"/>
          <w:bottom w:w="0" w:type="dxa"/>
          <w:right w:w="0" w:type="dxa"/>
        </w:tblCellMar>
      </w:tblPr>
      <w:tblGrid>
        <w:gridCol w:w="160"/>
        <w:gridCol w:w="1989"/>
        <w:gridCol w:w="2731"/>
        <w:gridCol w:w="2366"/>
        <w:gridCol w:w="1983"/>
      </w:tblGrid>
      <w:tr>
        <w:tblPrEx>
          <w:tblCellMar>
            <w:top w:w="0" w:type="dxa"/>
            <w:left w:w="0" w:type="dxa"/>
            <w:bottom w:w="0" w:type="dxa"/>
            <w:right w:w="0" w:type="dxa"/>
          </w:tblCellMar>
        </w:tblPrEx>
        <w:trPr>
          <w:trHeight w:val="3402" w:hRule="exact"/>
        </w:trPr>
        <w:tc>
          <w:tcPr>
            <w:tcW w:w="9229" w:type="dxa"/>
            <w:gridSpan w:val="5"/>
            <w:shd w:val="clear" w:color="auto" w:fill="auto"/>
          </w:tcPr>
          <w:p>
            <w:pPr>
              <w:snapToGrid w:val="0"/>
              <w:jc w:val="center"/>
              <w:rPr>
                <w:rFonts w:ascii="Times New Roman" w:hAnsi="Times New Roman" w:eastAsia="Calibri" w:cs="Times New Roman"/>
                <w:b/>
                <w:sz w:val="28"/>
                <w:szCs w:val="28"/>
              </w:rPr>
            </w:pPr>
            <w:r>
              <w:rPr>
                <w:rFonts w:ascii="Times New Roman" w:hAnsi="Times New Roman" w:eastAsia="Calibri" w:cs="Times New Roman"/>
                <w:b/>
                <w:sz w:val="28"/>
                <w:szCs w:val="28"/>
              </w:rPr>
              <w:t xml:space="preserve">АДМИНИСТРАЦИЯ </w:t>
            </w:r>
          </w:p>
          <w:p>
            <w:pPr>
              <w:snapToGrid w:val="0"/>
              <w:jc w:val="center"/>
              <w:rPr>
                <w:rFonts w:ascii="Times New Roman" w:hAnsi="Times New Roman" w:eastAsia="Calibri" w:cs="Times New Roman"/>
                <w:b/>
                <w:sz w:val="28"/>
                <w:szCs w:val="28"/>
              </w:rPr>
            </w:pPr>
            <w:r>
              <w:rPr>
                <w:rFonts w:ascii="Times New Roman" w:hAnsi="Times New Roman" w:eastAsia="Calibri" w:cs="Times New Roman"/>
                <w:b/>
                <w:sz w:val="28"/>
                <w:szCs w:val="28"/>
              </w:rPr>
              <w:t xml:space="preserve">МУРАШИНСКОГО МУНИЦИПАЛЬНОГО ОКРУГА </w:t>
            </w:r>
          </w:p>
          <w:p>
            <w:pPr>
              <w:jc w:val="center"/>
              <w:rPr>
                <w:rFonts w:ascii="Times New Roman" w:hAnsi="Times New Roman" w:eastAsia="Calibri" w:cs="Times New Roman"/>
                <w:b/>
                <w:sz w:val="28"/>
                <w:szCs w:val="28"/>
              </w:rPr>
            </w:pPr>
            <w:r>
              <w:rPr>
                <w:rFonts w:ascii="Times New Roman" w:hAnsi="Times New Roman" w:eastAsia="Calibri" w:cs="Times New Roman"/>
                <w:b/>
                <w:sz w:val="28"/>
                <w:szCs w:val="28"/>
              </w:rPr>
              <w:t>КИРОВСКОЙ ОБЛАСТИ</w:t>
            </w:r>
          </w:p>
          <w:p>
            <w:pPr>
              <w:pStyle w:val="9"/>
              <w:keepLines w:val="0"/>
              <w:spacing w:before="0" w:after="480"/>
              <w:rPr>
                <w:szCs w:val="32"/>
              </w:rPr>
            </w:pPr>
          </w:p>
          <w:p>
            <w:pPr>
              <w:pStyle w:val="9"/>
              <w:keepLines w:val="0"/>
              <w:spacing w:before="0" w:after="480"/>
              <w:rPr>
                <w:szCs w:val="32"/>
              </w:rPr>
            </w:pPr>
            <w:r>
              <w:rPr>
                <w:szCs w:val="32"/>
              </w:rPr>
              <w:t xml:space="preserve">ПОСТАНОВЛЕНИЕ </w:t>
            </w:r>
          </w:p>
          <w:p>
            <w:pPr>
              <w:pStyle w:val="9"/>
              <w:keepLines w:val="0"/>
              <w:spacing w:before="0" w:after="480"/>
              <w:rPr>
                <w:szCs w:val="32"/>
              </w:rPr>
            </w:pPr>
          </w:p>
          <w:p>
            <w:pPr>
              <w:pStyle w:val="9"/>
              <w:spacing w:before="0" w:after="480"/>
              <w:rPr>
                <w:szCs w:val="32"/>
              </w:rPr>
            </w:pPr>
            <w:r>
              <w:rPr>
                <w:szCs w:val="32"/>
              </w:rPr>
              <w:t>ПОСТАНОВЛЕНИЕ</w:t>
            </w:r>
          </w:p>
          <w:p>
            <w:pPr>
              <w:pStyle w:val="9"/>
              <w:spacing w:before="0" w:after="480"/>
              <w:rPr>
                <w:szCs w:val="32"/>
              </w:rPr>
            </w:pPr>
          </w:p>
          <w:p>
            <w:pPr>
              <w:pStyle w:val="9"/>
              <w:spacing w:before="0" w:after="480"/>
              <w:rPr>
                <w:szCs w:val="32"/>
              </w:rPr>
            </w:pPr>
          </w:p>
          <w:p>
            <w:pPr>
              <w:pStyle w:val="9"/>
              <w:spacing w:before="0" w:after="480"/>
              <w:rPr>
                <w:szCs w:val="32"/>
              </w:rPr>
            </w:pPr>
          </w:p>
          <w:p>
            <w:pPr>
              <w:pStyle w:val="9"/>
              <w:spacing w:before="0" w:after="480"/>
              <w:rPr>
                <w:szCs w:val="32"/>
              </w:rPr>
            </w:pPr>
          </w:p>
          <w:p>
            <w:pPr>
              <w:pStyle w:val="9"/>
              <w:spacing w:before="0" w:after="480"/>
              <w:rPr>
                <w:szCs w:val="32"/>
              </w:rPr>
            </w:pPr>
          </w:p>
          <w:p>
            <w:pPr>
              <w:pStyle w:val="9"/>
              <w:spacing w:before="0" w:after="480"/>
              <w:rPr>
                <w:sz w:val="28"/>
                <w:szCs w:val="28"/>
              </w:rPr>
            </w:pPr>
          </w:p>
          <w:p>
            <w:pPr>
              <w:pStyle w:val="9"/>
              <w:spacing w:before="0" w:after="480"/>
              <w:rPr>
                <w:sz w:val="28"/>
                <w:szCs w:val="28"/>
              </w:rPr>
            </w:pPr>
          </w:p>
          <w:p>
            <w:pPr>
              <w:tabs>
                <w:tab w:val="left" w:pos="2160"/>
              </w:tabs>
              <w:rPr>
                <w:rFonts w:ascii="Times New Roman" w:hAnsi="Times New Roman" w:eastAsia="Calibri" w:cs="Times New Roman"/>
                <w:sz w:val="28"/>
                <w:szCs w:val="28"/>
              </w:rPr>
            </w:pPr>
            <w:r>
              <w:rPr>
                <w:rFonts w:ascii="Times New Roman" w:hAnsi="Times New Roman" w:eastAsia="Calibri" w:cs="Times New Roman"/>
                <w:sz w:val="28"/>
                <w:szCs w:val="28"/>
              </w:rPr>
              <w:tab/>
            </w:r>
          </w:p>
        </w:tc>
      </w:tr>
      <w:tr>
        <w:tblPrEx>
          <w:tblCellMar>
            <w:top w:w="0" w:type="dxa"/>
            <w:left w:w="70" w:type="dxa"/>
            <w:bottom w:w="0" w:type="dxa"/>
            <w:right w:w="70" w:type="dxa"/>
          </w:tblCellMar>
        </w:tblPrEx>
        <w:tc>
          <w:tcPr>
            <w:tcW w:w="160" w:type="dxa"/>
            <w:shd w:val="clear" w:color="auto" w:fill="auto"/>
          </w:tcPr>
          <w:p>
            <w:pPr>
              <w:snapToGrid w:val="0"/>
              <w:rPr>
                <w:rFonts w:ascii="Times New Roman" w:hAnsi="Times New Roman" w:eastAsia="Calibri" w:cs="Times New Roman"/>
                <w:sz w:val="28"/>
                <w:szCs w:val="28"/>
              </w:rPr>
            </w:pPr>
          </w:p>
        </w:tc>
        <w:tc>
          <w:tcPr>
            <w:tcW w:w="1989" w:type="dxa"/>
            <w:tcBorders>
              <w:bottom w:val="single" w:color="000000" w:sz="4" w:space="0"/>
            </w:tcBorders>
            <w:shd w:val="clear" w:color="auto" w:fill="auto"/>
          </w:tcPr>
          <w:p>
            <w:pPr>
              <w:tabs>
                <w:tab w:val="left" w:pos="2765"/>
              </w:tabs>
              <w:snapToGrid w:val="0"/>
              <w:rPr>
                <w:rFonts w:ascii="Times New Roman" w:hAnsi="Times New Roman" w:eastAsia="Calibri" w:cs="Times New Roman"/>
                <w:sz w:val="28"/>
                <w:szCs w:val="28"/>
              </w:rPr>
            </w:pPr>
            <w:r>
              <w:rPr>
                <w:rFonts w:ascii="Times New Roman" w:hAnsi="Times New Roman" w:eastAsia="Calibri" w:cs="Times New Roman"/>
                <w:sz w:val="28"/>
                <w:szCs w:val="28"/>
              </w:rPr>
              <w:t xml:space="preserve"> 11.05.2022</w:t>
            </w:r>
          </w:p>
        </w:tc>
        <w:tc>
          <w:tcPr>
            <w:tcW w:w="2731" w:type="dxa"/>
            <w:shd w:val="clear" w:color="auto" w:fill="auto"/>
          </w:tcPr>
          <w:p>
            <w:pPr>
              <w:snapToGrid w:val="0"/>
              <w:jc w:val="center"/>
              <w:rPr>
                <w:rFonts w:ascii="Times New Roman" w:hAnsi="Times New Roman" w:eastAsia="Calibri" w:cs="Times New Roman"/>
                <w:position w:val="-4"/>
                <w:sz w:val="28"/>
                <w:szCs w:val="28"/>
              </w:rPr>
            </w:pPr>
            <w:r>
              <w:rPr>
                <w:rFonts w:ascii="Times New Roman" w:hAnsi="Times New Roman" w:eastAsia="Calibri" w:cs="Times New Roman"/>
                <w:position w:val="-4"/>
                <w:sz w:val="28"/>
                <w:szCs w:val="28"/>
              </w:rPr>
              <w:t xml:space="preserve">  </w:t>
            </w:r>
          </w:p>
        </w:tc>
        <w:tc>
          <w:tcPr>
            <w:tcW w:w="2366" w:type="dxa"/>
            <w:shd w:val="clear" w:color="auto" w:fill="auto"/>
          </w:tcPr>
          <w:p>
            <w:pPr>
              <w:snapToGrid w:val="0"/>
              <w:jc w:val="right"/>
              <w:rPr>
                <w:rFonts w:ascii="Times New Roman" w:hAnsi="Times New Roman" w:eastAsia="Calibri" w:cs="Times New Roman"/>
                <w:position w:val="-4"/>
                <w:sz w:val="28"/>
                <w:szCs w:val="28"/>
              </w:rPr>
            </w:pPr>
            <w:r>
              <w:rPr>
                <w:rFonts w:ascii="Times New Roman" w:hAnsi="Times New Roman" w:eastAsia="Calibri" w:cs="Times New Roman"/>
                <w:position w:val="-4"/>
                <w:sz w:val="28"/>
                <w:szCs w:val="28"/>
              </w:rPr>
              <w:t xml:space="preserve"> №</w:t>
            </w:r>
          </w:p>
        </w:tc>
        <w:tc>
          <w:tcPr>
            <w:tcW w:w="1983" w:type="dxa"/>
            <w:tcBorders>
              <w:bottom w:val="single" w:color="000000" w:sz="4" w:space="0"/>
            </w:tcBorders>
            <w:shd w:val="clear" w:color="auto" w:fill="auto"/>
          </w:tcPr>
          <w:p>
            <w:pPr>
              <w:snapToGrid w:val="0"/>
              <w:rPr>
                <w:rFonts w:ascii="Times New Roman" w:hAnsi="Times New Roman" w:eastAsia="Calibri" w:cs="Times New Roman"/>
                <w:sz w:val="28"/>
                <w:szCs w:val="28"/>
              </w:rPr>
            </w:pPr>
            <w:r>
              <w:rPr>
                <w:rFonts w:ascii="Times New Roman" w:hAnsi="Times New Roman" w:eastAsia="Calibri" w:cs="Times New Roman"/>
                <w:sz w:val="28"/>
                <w:szCs w:val="28"/>
              </w:rPr>
              <w:t>333</w:t>
            </w:r>
          </w:p>
        </w:tc>
      </w:tr>
      <w:tr>
        <w:tblPrEx>
          <w:tblCellMar>
            <w:top w:w="0" w:type="dxa"/>
            <w:left w:w="70" w:type="dxa"/>
            <w:bottom w:w="0" w:type="dxa"/>
            <w:right w:w="70" w:type="dxa"/>
          </w:tblCellMar>
        </w:tblPrEx>
        <w:tc>
          <w:tcPr>
            <w:tcW w:w="9229" w:type="dxa"/>
            <w:gridSpan w:val="5"/>
            <w:shd w:val="clear" w:color="auto" w:fill="auto"/>
          </w:tcPr>
          <w:p>
            <w:pPr>
              <w:tabs>
                <w:tab w:val="left" w:pos="2765"/>
              </w:tabs>
              <w:snapToGrid w:val="0"/>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г. Мураши </w:t>
            </w:r>
          </w:p>
        </w:tc>
      </w:tr>
    </w:tbl>
    <w:p>
      <w:pPr>
        <w:autoSpaceDE w:val="0"/>
        <w:autoSpaceDN w:val="0"/>
        <w:adjustRightInd w:val="0"/>
        <w:spacing w:after="0" w:line="360" w:lineRule="auto"/>
        <w:ind w:firstLine="709"/>
        <w:jc w:val="both"/>
        <w:rPr>
          <w:rFonts w:ascii="Times New Roman" w:hAnsi="Times New Roman" w:cs="Times New Roman"/>
          <w:b/>
          <w:sz w:val="28"/>
          <w:szCs w:val="28"/>
        </w:rPr>
      </w:pPr>
    </w:p>
    <w:p>
      <w:pPr>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 ОРГАНИЗАЦИИ ВНУТРЕННЕГО ФИНАНСОВОГО АУДИТА</w:t>
      </w:r>
    </w:p>
    <w:p>
      <w:pPr>
        <w:autoSpaceDE w:val="0"/>
        <w:autoSpaceDN w:val="0"/>
        <w:adjustRightInd w:val="0"/>
        <w:spacing w:after="0" w:line="360" w:lineRule="auto"/>
        <w:ind w:firstLine="709"/>
        <w:jc w:val="both"/>
        <w:rPr>
          <w:rFonts w:ascii="Times New Roman" w:hAnsi="Times New Roman" w:cs="Times New Roman"/>
          <w:sz w:val="28"/>
          <w:szCs w:val="28"/>
        </w:rPr>
      </w:pPr>
    </w:p>
    <w:p>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5 статьи 160.2-1 Бюджетного кодекса Российской Федерации (в редакции Федерального закона от 26.07.2019 №199-ФЗ) и в целях обеспечения осуществления бюджетных полномочий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аудита администрация Мурашинского муниципального округа ПОСТАНОВЛЯЕТ:</w:t>
      </w:r>
    </w:p>
    <w:p>
      <w:pPr>
        <w:pStyle w:val="11"/>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w:t>
      </w:r>
      <w:r>
        <w:fldChar w:fldCharType="begin"/>
      </w:r>
      <w:r>
        <w:instrText xml:space="preserve"> HYPERLINK "consultantplus://offline/ref=77D49940B49EB984B42A4B23FAEF49CBF305082CF1CC4746992D20AD17EBFA990B58217707709C946E9FCAc3SFH" </w:instrText>
      </w:r>
      <w:r>
        <w:fldChar w:fldCharType="separate"/>
      </w:r>
      <w:r>
        <w:rPr>
          <w:rFonts w:ascii="Times New Roman" w:hAnsi="Times New Roman" w:cs="Times New Roman"/>
          <w:sz w:val="28"/>
          <w:szCs w:val="28"/>
        </w:rPr>
        <w:t>Порядок</w:t>
      </w:r>
      <w:r>
        <w:rPr>
          <w:rFonts w:ascii="Times New Roman" w:hAnsi="Times New Roman" w:cs="Times New Roman"/>
          <w:sz w:val="28"/>
          <w:szCs w:val="28"/>
        </w:rPr>
        <w:fldChar w:fldCharType="end"/>
      </w:r>
      <w:r>
        <w:rPr>
          <w:rFonts w:ascii="Times New Roman" w:hAnsi="Times New Roman" w:cs="Times New Roman"/>
          <w:sz w:val="28"/>
          <w:szCs w:val="28"/>
        </w:rPr>
        <w:t xml:space="preserve"> осуществления внутреннего финансового аудита согласно приложению №1.</w:t>
      </w:r>
    </w:p>
    <w:p>
      <w:pPr>
        <w:pStyle w:val="11"/>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Утвердить Стандарт осуществления внутреннего финансового аудита согласно приложению №2.</w:t>
      </w:r>
    </w:p>
    <w:p>
      <w:pPr>
        <w:pStyle w:val="11"/>
        <w:numPr>
          <w:ilvl w:val="0"/>
          <w:numId w:val="1"/>
        </w:numPr>
        <w:autoSpaceDE w:val="0"/>
        <w:autoSpaceDN w:val="0"/>
        <w:adjustRightInd w:val="0"/>
        <w:spacing w:after="0" w:line="36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 xml:space="preserve">Признать утратившим силу постановление администрации Мурашинского района Кировской области от 29.01.2021 №33 «Об </w:t>
      </w:r>
      <w:r>
        <w:rPr>
          <w:rFonts w:ascii="Times New Roman" w:hAnsi="Times New Roman" w:eastAsia="Calibri" w:cs="Times New Roman"/>
          <w:sz w:val="28"/>
          <w:szCs w:val="28"/>
        </w:rPr>
        <w:t>организации внутреннего финансового аудита</w:t>
      </w:r>
      <w:r>
        <w:rPr>
          <w:rFonts w:ascii="Times New Roman" w:hAnsi="Times New Roman" w:cs="Times New Roman"/>
          <w:bCs/>
          <w:sz w:val="28"/>
          <w:szCs w:val="28"/>
        </w:rPr>
        <w:t>».</w:t>
      </w:r>
    </w:p>
    <w:p>
      <w:pPr>
        <w:pStyle w:val="14"/>
        <w:numPr>
          <w:ilvl w:val="0"/>
          <w:numId w:val="1"/>
        </w:numPr>
        <w:autoSpaceDE w:val="0"/>
        <w:autoSpaceDN w:val="0"/>
        <w:adjustRightInd w:val="0"/>
        <w:spacing w:line="360" w:lineRule="auto"/>
        <w:ind w:left="0" w:firstLine="709"/>
        <w:jc w:val="both"/>
        <w:rPr>
          <w:rFonts w:ascii="Times New Roman" w:hAnsi="Times New Roman" w:cs="Times New Roman"/>
          <w:sz w:val="28"/>
          <w:szCs w:val="28"/>
        </w:rPr>
      </w:pPr>
      <w:r>
        <w:rPr>
          <w:rFonts w:ascii="Times New Roman" w:hAnsi="Times New Roman" w:eastAsia="Calibri" w:cs="Times New Roman"/>
          <w:sz w:val="28"/>
          <w:szCs w:val="28"/>
        </w:rPr>
        <w:t xml:space="preserve">Настоящее постановление вступает в силу </w:t>
      </w:r>
      <w:r>
        <w:rPr>
          <w:rFonts w:ascii="Times New Roman" w:hAnsi="Times New Roman" w:cs="Times New Roman"/>
          <w:sz w:val="28"/>
          <w:szCs w:val="28"/>
        </w:rPr>
        <w:t>с даты подписания и распространяется на правоотношения, возникшие с 01.01.2022 года.</w:t>
      </w:r>
    </w:p>
    <w:p>
      <w:pPr>
        <w:pStyle w:val="14"/>
        <w:numPr>
          <w:ilvl w:val="0"/>
          <w:numId w:val="1"/>
        </w:numPr>
        <w:autoSpaceDE w:val="0"/>
        <w:autoSpaceDN w:val="0"/>
        <w:adjustRightInd w:val="0"/>
        <w:spacing w:after="60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Опубликовать настоящее постановление в Муниципальном вестнике.</w:t>
      </w:r>
    </w:p>
    <w:p>
      <w:pPr>
        <w:pStyle w:val="7"/>
        <w:snapToGrid w:val="0"/>
        <w:rPr>
          <w:szCs w:val="28"/>
        </w:rPr>
      </w:pPr>
      <w:r>
        <w:rPr>
          <w:szCs w:val="28"/>
        </w:rPr>
        <w:t xml:space="preserve">Глава Мурашинского </w:t>
      </w:r>
    </w:p>
    <w:p>
      <w:pPr>
        <w:pStyle w:val="7"/>
        <w:snapToGrid w:val="0"/>
        <w:rPr>
          <w:szCs w:val="28"/>
        </w:rPr>
      </w:pPr>
      <w:r>
        <w:rPr>
          <w:szCs w:val="28"/>
        </w:rPr>
        <w:t>муниципального округа</w:t>
      </w:r>
      <w:r>
        <w:rPr>
          <w:szCs w:val="28"/>
        </w:rPr>
        <w:tab/>
      </w:r>
      <w:r>
        <w:rPr>
          <w:szCs w:val="28"/>
        </w:rPr>
        <w:tab/>
      </w:r>
      <w:r>
        <w:rPr>
          <w:szCs w:val="28"/>
        </w:rPr>
        <w:tab/>
      </w:r>
      <w:r>
        <w:rPr>
          <w:szCs w:val="28"/>
        </w:rPr>
        <w:tab/>
      </w:r>
      <w:r>
        <w:rPr>
          <w:szCs w:val="28"/>
        </w:rPr>
        <w:tab/>
      </w:r>
      <w:r>
        <w:rPr>
          <w:szCs w:val="28"/>
        </w:rPr>
        <w:tab/>
      </w:r>
      <w:r>
        <w:rPr>
          <w:szCs w:val="28"/>
        </w:rPr>
        <w:tab/>
      </w:r>
      <w:r>
        <w:rPr>
          <w:szCs w:val="28"/>
        </w:rPr>
        <w:t>С.И.Рябинин</w:t>
      </w:r>
    </w:p>
    <w:p>
      <w:pPr>
        <w:pStyle w:val="7"/>
        <w:rPr>
          <w:szCs w:val="28"/>
        </w:rPr>
      </w:pPr>
      <w:r>
        <w:rPr>
          <w:szCs w:val="28"/>
        </w:rPr>
        <w:t>__________________________________________________________________</w:t>
      </w:r>
    </w:p>
    <w:p>
      <w:pPr>
        <w:spacing w:after="0" w:line="240" w:lineRule="auto"/>
        <w:jc w:val="both"/>
        <w:rPr>
          <w:rFonts w:ascii="Times New Roman" w:hAnsi="Times New Roman" w:cs="Times New Roman"/>
          <w:sz w:val="28"/>
          <w:szCs w:val="28"/>
        </w:rPr>
      </w:pPr>
    </w:p>
    <w:p>
      <w:pPr>
        <w:autoSpaceDE w:val="0"/>
        <w:autoSpaceDN w:val="0"/>
        <w:adjustRightInd w:val="0"/>
        <w:spacing w:after="0" w:line="240" w:lineRule="auto"/>
        <w:jc w:val="both"/>
        <w:rPr>
          <w:rFonts w:ascii="Times New Roman" w:hAnsi="Times New Roman" w:cs="Times New Roman"/>
          <w:sz w:val="28"/>
          <w:szCs w:val="28"/>
        </w:rPr>
      </w:pPr>
      <w:bookmarkStart w:id="3" w:name="_GoBack"/>
      <w:bookmarkEnd w:id="3"/>
    </w:p>
    <w:p>
      <w:pPr>
        <w:autoSpaceDE w:val="0"/>
        <w:autoSpaceDN w:val="0"/>
        <w:adjustRightInd w:val="0"/>
        <w:spacing w:after="0" w:line="240" w:lineRule="auto"/>
        <w:jc w:val="both"/>
        <w:rPr>
          <w:rFonts w:ascii="Times New Roman" w:hAnsi="Times New Roman" w:cs="Times New Roman"/>
          <w:sz w:val="28"/>
          <w:szCs w:val="28"/>
        </w:rPr>
        <w:sectPr>
          <w:pgSz w:w="11906" w:h="16838"/>
          <w:pgMar w:top="1134" w:right="851" w:bottom="1418" w:left="1701" w:header="0" w:footer="0" w:gutter="0"/>
          <w:cols w:space="720" w:num="1"/>
        </w:sectPr>
      </w:pPr>
    </w:p>
    <w:p>
      <w:pPr>
        <w:autoSpaceDE w:val="0"/>
        <w:autoSpaceDN w:val="0"/>
        <w:adjustRightInd w:val="0"/>
        <w:spacing w:after="0" w:line="240" w:lineRule="auto"/>
        <w:ind w:left="4962"/>
        <w:rPr>
          <w:rFonts w:ascii="Times New Roman" w:hAnsi="Times New Roman" w:cs="Times New Roman"/>
          <w:sz w:val="28"/>
          <w:szCs w:val="28"/>
        </w:rPr>
      </w:pPr>
      <w:r>
        <w:rPr>
          <w:rFonts w:ascii="Times New Roman" w:hAnsi="Times New Roman" w:cs="Times New Roman"/>
          <w:sz w:val="28"/>
          <w:szCs w:val="28"/>
        </w:rPr>
        <w:t>Приложение №1</w:t>
      </w:r>
    </w:p>
    <w:p>
      <w:pPr>
        <w:autoSpaceDE w:val="0"/>
        <w:autoSpaceDN w:val="0"/>
        <w:adjustRightInd w:val="0"/>
        <w:spacing w:after="0" w:line="240" w:lineRule="auto"/>
        <w:ind w:left="4962"/>
        <w:rPr>
          <w:rFonts w:ascii="Times New Roman" w:hAnsi="Times New Roman" w:cs="Times New Roman"/>
          <w:sz w:val="28"/>
          <w:szCs w:val="28"/>
        </w:rPr>
      </w:pPr>
    </w:p>
    <w:p>
      <w:pPr>
        <w:autoSpaceDE w:val="0"/>
        <w:autoSpaceDN w:val="0"/>
        <w:adjustRightInd w:val="0"/>
        <w:spacing w:after="0" w:line="240" w:lineRule="auto"/>
        <w:ind w:left="4962"/>
        <w:rPr>
          <w:rFonts w:ascii="Times New Roman" w:hAnsi="Times New Roman" w:cs="Times New Roman"/>
          <w:sz w:val="28"/>
          <w:szCs w:val="28"/>
        </w:rPr>
      </w:pPr>
      <w:r>
        <w:rPr>
          <w:rFonts w:ascii="Times New Roman" w:hAnsi="Times New Roman" w:cs="Times New Roman"/>
          <w:sz w:val="28"/>
          <w:szCs w:val="28"/>
        </w:rPr>
        <w:t>УТВЕРЖДЕН</w:t>
      </w:r>
    </w:p>
    <w:p>
      <w:pPr>
        <w:autoSpaceDE w:val="0"/>
        <w:autoSpaceDN w:val="0"/>
        <w:adjustRightInd w:val="0"/>
        <w:spacing w:after="0" w:line="240" w:lineRule="auto"/>
        <w:ind w:left="4962"/>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Мурашинского муниципального округа Кировской области </w:t>
      </w:r>
    </w:p>
    <w:p>
      <w:pPr>
        <w:autoSpaceDE w:val="0"/>
        <w:autoSpaceDN w:val="0"/>
        <w:adjustRightInd w:val="0"/>
        <w:spacing w:after="0" w:line="240" w:lineRule="auto"/>
        <w:ind w:left="4962"/>
        <w:rPr>
          <w:rFonts w:ascii="Times New Roman" w:hAnsi="Times New Roman" w:cs="Times New Roman"/>
          <w:sz w:val="28"/>
          <w:szCs w:val="28"/>
        </w:rPr>
      </w:pPr>
    </w:p>
    <w:p>
      <w:pPr>
        <w:autoSpaceDE w:val="0"/>
        <w:autoSpaceDN w:val="0"/>
        <w:adjustRightInd w:val="0"/>
        <w:spacing w:after="0" w:line="240" w:lineRule="auto"/>
        <w:ind w:left="4962"/>
        <w:rPr>
          <w:rFonts w:ascii="Times New Roman" w:hAnsi="Times New Roman" w:cs="Times New Roman"/>
          <w:sz w:val="28"/>
          <w:szCs w:val="28"/>
        </w:rPr>
      </w:pPr>
      <w:r>
        <w:rPr>
          <w:rFonts w:ascii="Times New Roman" w:hAnsi="Times New Roman" w:cs="Times New Roman"/>
          <w:sz w:val="28"/>
          <w:szCs w:val="28"/>
        </w:rPr>
        <w:t>от 11.05.2022 №333</w:t>
      </w:r>
    </w:p>
    <w:p>
      <w:pPr>
        <w:autoSpaceDE w:val="0"/>
        <w:autoSpaceDN w:val="0"/>
        <w:adjustRightInd w:val="0"/>
        <w:spacing w:after="0" w:line="240" w:lineRule="auto"/>
        <w:ind w:left="4962"/>
        <w:rPr>
          <w:rFonts w:ascii="Times New Roman" w:hAnsi="Times New Roman" w:cs="Times New Roman"/>
          <w:sz w:val="28"/>
          <w:szCs w:val="28"/>
        </w:rPr>
      </w:pPr>
    </w:p>
    <w:p>
      <w:pPr>
        <w:autoSpaceDE w:val="0"/>
        <w:autoSpaceDN w:val="0"/>
        <w:adjustRightInd w:val="0"/>
        <w:spacing w:after="0" w:line="240" w:lineRule="auto"/>
        <w:jc w:val="center"/>
        <w:rPr>
          <w:rFonts w:ascii="Times New Roman" w:hAnsi="Times New Roman" w:cs="Times New Roman"/>
          <w:b/>
          <w:bCs/>
          <w:sz w:val="28"/>
          <w:szCs w:val="28"/>
        </w:rPr>
      </w:pPr>
      <w:bookmarkStart w:id="0" w:name="Par30"/>
      <w:bookmarkEnd w:id="0"/>
      <w:r>
        <w:rPr>
          <w:rFonts w:ascii="Times New Roman" w:hAnsi="Times New Roman" w:cs="Times New Roman"/>
          <w:b/>
          <w:bCs/>
          <w:sz w:val="28"/>
          <w:szCs w:val="28"/>
        </w:rPr>
        <w:t>ПОРЯДОК</w:t>
      </w:r>
    </w:p>
    <w:p>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ОСУЩЕСТВЛЕНИЯ ВНУТРЕННЕГО ФИНАНСОВОГО АУДИТА</w:t>
      </w:r>
    </w:p>
    <w:p>
      <w:pPr>
        <w:autoSpaceDE w:val="0"/>
        <w:autoSpaceDN w:val="0"/>
        <w:adjustRightInd w:val="0"/>
        <w:spacing w:after="0" w:line="240" w:lineRule="auto"/>
        <w:jc w:val="both"/>
        <w:outlineLvl w:val="0"/>
        <w:rPr>
          <w:rFonts w:ascii="Times New Roman" w:hAnsi="Times New Roman" w:cs="Times New Roman"/>
          <w:b/>
          <w:bCs/>
          <w:sz w:val="28"/>
          <w:szCs w:val="28"/>
        </w:rPr>
      </w:pPr>
    </w:p>
    <w:p>
      <w:pPr>
        <w:autoSpaceDE w:val="0"/>
        <w:autoSpaceDN w:val="0"/>
        <w:adjustRightInd w:val="0"/>
        <w:spacing w:after="0" w:line="240" w:lineRule="auto"/>
        <w:ind w:firstLine="540"/>
        <w:jc w:val="both"/>
        <w:outlineLvl w:val="1"/>
        <w:rPr>
          <w:rFonts w:ascii="Times New Roman" w:hAnsi="Times New Roman" w:cs="Times New Roman"/>
          <w:bCs/>
          <w:sz w:val="28"/>
          <w:szCs w:val="28"/>
        </w:rPr>
      </w:pPr>
      <w:r>
        <w:rPr>
          <w:rFonts w:ascii="Times New Roman" w:hAnsi="Times New Roman" w:cs="Times New Roman"/>
          <w:bCs/>
          <w:sz w:val="28"/>
          <w:szCs w:val="28"/>
        </w:rPr>
        <w:t>1. Общие положения.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1.1. Порядок осуществления внутреннего финансового аудита (далее - Порядок) устанавливает правила осуществления главными распорядителями (распорядителями) средств бюджета Мурашинского  муниципального округа Кировской облсти  главными администраторами (администраторами) доходов бюджета Мурашинского муниципального округа  Кировской области, главными администраторами (администраторами) источников финансирования дефицита бюджета Мурашинского  муниципального округа Кировской области  (далее - главный администратор бюджетных средств) внутреннего финансового аудита.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1.2. В целях настоящего Порядка: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к подведомственным участникам бюджетного процесса относятся распорядитель средств бюджета Мурашинского муниципального округа Кировской области, администратор доходов бюджета Мурашинского муниципального округа  Кировской области, администратор источников финансирования дефицита бюджета Мурашинского муниципального округа Кировской области и получатели средств бюджета Мурашинского муниципального округа Кировской области.</w:t>
      </w:r>
    </w:p>
    <w:p>
      <w:pPr>
        <w:autoSpaceDE w:val="0"/>
        <w:autoSpaceDN w:val="0"/>
        <w:adjustRightInd w:val="0"/>
        <w:spacing w:before="280" w:after="0" w:line="240" w:lineRule="auto"/>
        <w:ind w:firstLine="540"/>
        <w:jc w:val="both"/>
        <w:outlineLvl w:val="1"/>
        <w:rPr>
          <w:rFonts w:ascii="Times New Roman" w:hAnsi="Times New Roman" w:cs="Times New Roman"/>
          <w:bCs/>
          <w:sz w:val="28"/>
          <w:szCs w:val="28"/>
        </w:rPr>
      </w:pPr>
      <w:r>
        <w:rPr>
          <w:rFonts w:ascii="Times New Roman" w:hAnsi="Times New Roman" w:cs="Times New Roman"/>
          <w:bCs/>
          <w:sz w:val="28"/>
          <w:szCs w:val="28"/>
        </w:rPr>
        <w:t>2. Осуществление внутреннего финансового аудита.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2.1. Внутренний финансовый аудит осуществляется структурным подразделением или должностными лицами главного администратора бюджетных средств, наделенными полномочиями по осуществлению внутреннего финансового аудита (далее - субъект внутреннего финансового аудита), на основе функциональной независимости.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Деятельность субъекта внутреннего финансового аудита основывается на принципах законности, объективности, эффективности, функциональной независимости, компетентности, профессионального скептицизма, системности, ответственности и стандартизации.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2.2. Целями внутреннего финансового аудита являются: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оценка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и подготовки предложений об организации внутреннего финансового контроля;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повышение качества финансового менеджмента.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2.3. В целях оценки надежности внутреннего финансового контроля, осуществляемого в главном администраторе (администраторе) бюджетных средств, а также подготовки предложений по его организации деятельность субъекта внутреннего финансового аудита должна быть направлена на решение, в частности, следующих задач:</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а) установление достаточности и актуальности правовых актов и документов главного администратора (администратора) бюджетных средств, устанавливающих требования к организации (обеспечению выполнения), выполнению бюджетной процедуры, в том числе к операции (действию) по выполнению бюджетной процедуры (полноты регламентации процесса их выполнения), и (или) выявление несоответствия положений этих актов правовым актам, регулирующим бюджетные правоотношения, на момент совершения операции;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б) выявление избыточных (дублирующих друг друга) операций (действий) по выполнению бюджетной процедуры;</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в) изучение наличия прав доступа пользователей (субъектов бюджетных процедур) к базам данных, вводу и выводу информации из прикладных программных средств и информационных ресурсов, обеспечивающих исполнение бюджетных полномочий главного администратора (администратора) бюджетных средств, в целях формирования предложений и рекомендаций по предотвращению несанкционированного доступа к таким базам данных, вводу и выводу из них информации;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г) оценка степени соблюдения установленных правовыми актами, регулирующими бюджетные правоотношения, требований к исполнению бюджетных полномочий, требований к организации (обеспечению выполнения), выполнению бюджетной процедуры;</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д) формирование предложений и рекомендаций по совершенствованию организации (обеспечения выполнения), выполнения бюджетной процедуры;</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е) изучение совершаемых субъектами бюджетных процедур и (или) прикладными программными средствами, информационными ресурсами контрольных действий и их результатов, в том числе анализ причин и условий нарушений и (или) недостатков (в случае их выявления), в целях определения операций (действий) по выполнению бюджетной процедуры, в отношении которых контрольные действия не осуществлялись и (или) осуществлялись не в полной мере;</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ж) оценка организации, применения и достаточности совершаемых контрольных действий на предмет их соразмерности выявленным бюджетным рискам, а также способности предупреждать (не допускать) нарушения и (или) недостатки;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 формирование предложений и рекомендаций по организации и применению контрольных действий в целях:</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минимизации бюджетных рисков при выполнении бюджетных процедур, в том числе операций (действий) по выполнению бюджетной процедуры;</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обеспечения отсутствия и (или) существенного снижения числа нарушений и (или) недостатков, а также устранения их причин и условий;</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достижения главным администратором (администратором) бюджетных средств значений показателей качества финансового менеджмента, в том числе целевых значений, определенных в соответствии с порядком проведения мониторинга качества финансового менеджмента, предусмотренным </w:t>
      </w:r>
      <w:r>
        <w:fldChar w:fldCharType="begin"/>
      </w:r>
      <w:r>
        <w:instrText xml:space="preserve"> HYPERLINK "consultantplus://offline/ref=B2BD4E934BE1D92F60027355AA2C77DDBC7CA4D743C3ED7C11DFA15158FC99D9944EC3B9D14885CE2DD6EFD65F6C12CC532333D4A9BDB551L" </w:instrText>
      </w:r>
      <w:r>
        <w:fldChar w:fldCharType="separate"/>
      </w:r>
      <w:r>
        <w:rPr>
          <w:rFonts w:ascii="Times New Roman" w:hAnsi="Times New Roman" w:cs="Times New Roman"/>
          <w:bCs/>
          <w:color w:val="0000FF"/>
          <w:sz w:val="28"/>
          <w:szCs w:val="28"/>
        </w:rPr>
        <w:t>пунктом 7 статьи 160.2-1</w:t>
      </w:r>
      <w:r>
        <w:rPr>
          <w:rFonts w:ascii="Times New Roman" w:hAnsi="Times New Roman" w:cs="Times New Roman"/>
          <w:bCs/>
          <w:color w:val="0000FF"/>
          <w:sz w:val="28"/>
          <w:szCs w:val="28"/>
        </w:rPr>
        <w:fldChar w:fldCharType="end"/>
      </w:r>
      <w:r>
        <w:rPr>
          <w:rFonts w:ascii="Times New Roman" w:hAnsi="Times New Roman" w:cs="Times New Roman"/>
          <w:bCs/>
          <w:sz w:val="28"/>
          <w:szCs w:val="28"/>
        </w:rPr>
        <w:t xml:space="preserve"> Бюджетного кодекса Российской Федерации.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ведомственным (внутренним) актам деятельность субъекта внутреннего финансового аудита должна быть направлена на решение, в частности, следующих задач:</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а) изучение порядка формирования (актуализации) актов субъекта учета, устанавливающих в целях организации и ведения бюджетного учета учетную политику субъекта учета (документы учетной политики), также подтверждение соответствия указанных актов субъекта учета требованиям единой методологии бюджетного учета, составления, представления и утверждения бюджетной отчетности;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б) подтверждение законности и полноты формирования финансовых и первичных учетных документов, а также достоверности данных, содержащихся в регистрах бюджетного учета, и наделения субъектов бюджетных процедур правами доступа к записям в регистрах бюджетного учета;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в) определение данных бюджетного учета и (или) бюджетной отчетности, включая показатели бюджетной отчетности, и используемых в их отношении методов внутреннего финансового аудита в целях подтверждения наличия (отсутствия) искажения бюджетной отчетности;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г) формирование суждения субъекта внутреннего финансового аудита о достоверности бюджетной отчетности, подготовленное с учетом положений </w:t>
      </w:r>
      <w:r>
        <w:fldChar w:fldCharType="begin"/>
      </w:r>
      <w:r>
        <w:instrText xml:space="preserve"> HYPERLINK "consultantplus://offline/ref=B2BD4E934BE1D92F60027355AA2C77DDBC7DA7DC44C1ED7C11DFA15158FC99D9944EC3BCD94186C37E8CFFD2163816D35A3C2DD7B7BD50C4B052L" </w:instrText>
      </w:r>
      <w:r>
        <w:fldChar w:fldCharType="separate"/>
      </w:r>
      <w:r>
        <w:rPr>
          <w:rFonts w:ascii="Times New Roman" w:hAnsi="Times New Roman" w:cs="Times New Roman"/>
          <w:bCs/>
          <w:color w:val="0000FF"/>
          <w:sz w:val="28"/>
          <w:szCs w:val="28"/>
        </w:rPr>
        <w:t>пункта 65</w:t>
      </w:r>
      <w:r>
        <w:rPr>
          <w:rFonts w:ascii="Times New Roman" w:hAnsi="Times New Roman" w:cs="Times New Roman"/>
          <w:bCs/>
          <w:color w:val="0000FF"/>
          <w:sz w:val="28"/>
          <w:szCs w:val="28"/>
        </w:rPr>
        <w:fldChar w:fldCharType="end"/>
      </w:r>
      <w:r>
        <w:rPr>
          <w:rFonts w:ascii="Times New Roman" w:hAnsi="Times New Roman" w:cs="Times New Roman"/>
          <w:bCs/>
          <w:sz w:val="28"/>
          <w:szCs w:val="28"/>
        </w:rP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и в целях подтверждения достоверности бюджетной отчетности получателя бюджетных средств, сформированной главным администратором (администратором) бюджетных средств (индивидуальной бюджетной отчетности), а также соблюдения главным администратором бюджетных средств порядка формирования консолидированной бюджетной отчетности;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д) формирование предложений и рекомендаций субъектам бюджетных процедур по предотвращению нарушений и недостатков при отражении в бюджетном учете и (или) бюджетной отчетности информации, в том числе отклонений, существенных ошибок и искажений, а также по совершенствованию применяемых процедур ведения бюджетного учета.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В целях повышения качества финансового менеджмента деятельность субъекта внутреннего финансового аудита должна быть направлена на решение, в частности, следующих задач:</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а) определение влияния прикладных программных средств, информационных ресурсов на результат выполнения бюджетной процедуры, на операцию (действие) по выполнению бюджетной процедуры и формирование предложений и рекомендаций по совершенствованию этих средств и повышению эффективности их применения;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б) оценка исполнения бюджетных полномочий главного администратора (администратора) бюджетных средств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в) оценка результатов исполнения направленных на повышение качества финансового менеджмента решений субъектов бюджетных процедур;</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г) формирование предложений и рекомендаций по предотвращению недостатков и нарушений, совершенствованию информационного взаимодействия между субъектами бюджетных процедур при организации (обеспечении выполнения), выполнении бюджетных процедур, а также по повышению квалификации субъектов бюджетных процедур, проведению их профессиональной подготовки;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д) оценка результативности и экономности использования бюджетных средств главным администратором (администратором) бюджетных средств, в том числе путем формирования субъектом внутреннего финансового аудита суждения о:</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полноте обоснования расходов на достижение заданных результатов, включая объективность и достоверность показателей непосредственных и конечных результатов, в случае их наличия;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своевременности доведения и полноте распределения бюджетных ассигнований, а также о полноте обоснования причин возникновения неиспользованных остатков бюджетных средств и (или) лимитов бюджетных обязательств в случае их наличия;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качестве обоснований изменений в сводную бюджетную роспись, бюджетную роспись;</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соответствии объемов осуществленных кассовых расходов прогнозным показателям кассового планирования;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уровне достижения значений показателей результата выполнения мероприятий (при наличии);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обоснованности объектов закупок, в том числе обоснованности объема финансового обеспечения для осуществления закупки, сроков (периодичности) осуществления планируемых закупок, а также начальных (максимальных) цен контрактов;</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обоснованности выбора способов определения поставщика (подрядчика, исполнителя) с целью достижения экономии бюджетных средств;</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равномерности принятия и исполнения обязательств по государственным (муниципальным) контрактам с учетом особенностей выполняемых функций и полномочий в течение финансового года;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обоснованности объемов межбюджетных трансфертов из бюджета другим бюджетам бюджетной системы Российской Федерации для достижения значений показателей результативности использования субсидий, установленных соглашениями о предоставлении субсидий и (или) иных межбюджетных трансфертов, имеющих целевое значение;</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обоснованности показателей государственного (муниципального) задания на оказание (выполнение) государственных (муниципальных) услуг (работ) исходя из объема государственных (муниципальных) услуг (работ) в соответствии с социальными гарантиями и обязательствами государства;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наличии, объеме и структуре дебиторской и кредиторской задолженности, в том числе просроченной.</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2.4. Объектом внутреннего финансового аудита (далее - объект аудита) являются бюджетная процедура и (или) составляющие эту процедуру операции (действия) по выполнению бюджетной процедуры.</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2.5. Субъект внутреннего финансового аудита подчиняется непосредственно и исключительно руководителю главного администратора бюджетных средств.</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Функциональная независимость субъекта внутреннего финансового аудита состоит в том, что его должностные лица: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не принимают участие в исполнении проверяемых внутренних бюджетных процедур;</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не принимали участие в исполнении внутренних бюджетных процедур в проверяемом периоде;</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не подчиняются должностным лицам главного администратора бюджетных средств, курирующим, организующим и выполняющим проверяемые внутренние бюджетные процедуры;</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не имеют родства с должностными лицами главного администратора бюджетных средств, курирующими, организующими и (или) выполняющими проверяемые внутренние бюджетные процедуры.</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2.6. Внутренний финансовый аудит осуществляется посредством проведения плановых и внеплановых аудиторских проверок (далее - аудиторская проверка).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бюджетных средств.</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Аудиторские проверки подразделяются на камеральные, выездные и комбинированные.</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Камеральная аудиторская проверка проводится по месту нахождения главного администратора бюджетных средств на основании бюджетной (бухгалтерской) отчетности и иных документов, представленных по его запросу.</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Выездная аудиторская проверка проводится по месту нахождения объекта аудита, в ходе которой в том числе определяется фактическое соответствие совершенных операций (действий по формированию документов, необходимых для выполнения внутренней бюджетной процедуры) данным бюджетной (бухгалтерской) отчетности и первичным документам.</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Комбинированная проверка проводится как по месту нахождения субъекта внутреннего финансового аудита, так и по месту нахождения объектов аудита.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2.7. План проведения аудиторских мероприятий (далее - план финансового аудита) представляет собой перечень планируемых к проведению в очередном финансовом году аудиторских мероприятий с указанием объекта аудита, темы и даты (месяца) окончания указанного мероприятия.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2.8. Темы аудиторских проверок формулируются исходя из следующих направлений аудита: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аудит надежности системы внутреннего финансового контроля;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аудит достоверности бюджетной отчетности главного администратора бюджетных средств и (или) подведомственных ему получателей бюджетных средств;</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аудит экономности и результативности использования бюджетных средств.</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2.9. При планировании аудиторских проверок (составлении плана и программы аудиторской проверки) учитываются: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значимость операций (действий по формированию документов, необходимых для выполнения внутренней бюджетной процедуры), групп однотипных операций, осуществляемых объектами аудита, которые могут оказать значительное влияние на качество выполнения внутренней бюджетной процедуры и годовую и (или) квартальную бюджетную отчетность в случае ненадлежащего осуществления этих операций;</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факторы, влияющие на объем выборки проверяемых операций (действий по формированию документов, необходимых для выполнения внутренней бюджетной процедуры) для оценки надежности внутреннего финансового контроля;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наличие значимых бюджетных рисков после проведения процедур внутреннего финансового контроля;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степень обеспеченности субъекта внутреннего финансового аудита ресурсами (трудовыми, материальными и финансовыми);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возможность проведения аудиторских проверок в установленные сроки;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наличие резерва времени для выполнения внеплановых аудиторских проверок;</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результаты осуществления объектом аудита внутреннего финансового контроля за период, подлежащий аудиторской проверке;</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проведение в текущем и (или) отчетном финансовом году в отношении финансово-хозяйственной деятельности объектов аудита контрольных мероприятий органами муниципального финансового контроля.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2.10. План внутреннего финансового аудита утверждается руководителем главного администратора бюджетных средств до начала очередного финансового года.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2.11. Субъект внутреннего финансового аудита при проведении аудиторских проверок имеет право:</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получать от субъектов бюджетных процедур необходимые для осуществления внутреннего финансового аудита документы и фактические данные, информацию, связанные с объектом внутреннего финансового аудита, в том числе объяснения в письменной и (или) устной форме;</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получать доступ к прикладным программным средствам и информационным ресурсам, обеспечивающим исполнение бюджетных полномочий главного администратора (администратора) бюджетных средств и (или) содержащим информацию об операциях (действиях) по выполнению бюджетной процедуры;</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знакомиться с организационно-распорядительными и техническими документами главного администратора (администратора) бюджетных средств к используемым субъектами бюджетных процедур прикладным программным средствам и информационным ресурсам, включая описание и применение средств защиты информации;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посещать помещения и территории, которые занимают субъекты бюджетных процедур;</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консультировать субъектов бюджетных процедур по вопросам, связанным с совершенствованием организации и осуществления контрольных действий, повышением качества финансового менеджмента, в том числе с повышением результативности и экономности использования бюджетных средств;</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осуществлять профессиональное развитие путем приобретения новых знаний и умений, развития профессиональных и личностных качеств в целях поддержания и повышения уровня квалификации, необходимого для надлежащего исполнения должностных обязанностей при осуществлении внутреннего финансового аудита.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2.12. Субъект внутреннего финансового аудита при проведении аудиторских проверок обязан:</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соблюдать требования законодательства Российской Федерации, а также положения правовых актов, регулирующих организацию и осуществление внутреннего финансового аудита, включая федеральные стандарты внутреннего Финансового аудита и ведомственные (внутренние) акты главного администратора (администратора) бюджетных средств;</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соблюдать положения Кодекса этики и служебного поведения, принятого главным администратором (администратором) бюджетных средств;</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своевременно сообщать руководителю субъекта внутреннего финансового аудита (руководителю главного администратора (администратора) бюджетных средств) о нарушениях должностными лицами (работниками) субъекта внутреннего финансового аудита (членами аудиторской группы) принципов внутреннего финансового аудита, о личной заинтересованности, а также о выявленных признаках коррупционных и иных правонарушений;</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использовать информацию, полученную при осуществлении внутреннего финансового аудита, исключительно в целях исполнения должностных обязанностей;</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применять основанный на результатах оценки бюджетных рисков (риск-ориентированный) подход при планировании и проведении аудиторских мероприятий;</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проводить аудиторские мероприятия в соответствии с программами этих мероприятий;</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обеспечивать получение достаточных аудиторских доказательств;</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формировать рабочую документацию аудиторского мероприятия;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обеспечивать сбор и анализ информации о бюджетных рисках, оценивать бюджетные риски и способы их минимизации, а также анализировать выявленные нарушения и (или) недостатки в целях ведения реестра бюджетных рисков;</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принимать участие в подготовке заключений и годовой отчетности о результатах деятельности субъекта внутреннего финансового аудита.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2.13. Ответственность за организацию внутреннего финансового аудита несет руководитель главного администратора бюджетных средств.</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Руководитель главного администратора бюджетных средств при организации внутреннего финансового аудита обязан исключать участие субъекта внутреннего финансового аудита в организации и выполнении внутренних бюджетных процедур.</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2.14. Аудиторская проверка назначается решением руководителя главного администратора бюджетных средств и проводится на основании утвержденной им программы аудиторской проверки.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2.15. К методам внутреннего финансового аудита относятся: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инспектирование, представляющее собой изучение записей и документов, связанных с выполнением внутренней бюджетной процедуры, и (или) материальных активов;</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запрос, представляющий собой письменное обращение к осведомленным лицам объекта аудита в целях получения сведений, необходимых для проведения аудиторской проверки;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опрос, представляющий собой устное обращение к осведомленным должностным лицам объекта аудита в целях получения сведений, необходимых для проведения аудиторской проверки;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подтверждение, представляющее собой ответ на запрос информации, содержащейся в регистрах бюджетного учета;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пересчет, представляющий собой проверку точности арифметических расчетов, произведенных объектом аудита;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аналитические процедуры, представляющие собой анализ соотношений и закономерностей, основанных на сведениях о выполнении объектом аудита внутренних бюджетных процедур,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наблюдение, представляющее собой изучение действий по выполнению бюджетных процедур;</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мониторинг процедур внутреннего финансового контроля, представляющий собой регулярный процесс изучения контрольных действий и их результатов, оценки надежности внутреннего финансового контроля.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2.16. Программа аудиторской проверки должна содержать основание и сроки проведения, цели и задачи, методы аудиторского мероприятия, наименование объекта внутреннего финансового аудита и перечень вопросов, подлежащих изучению в ходе проведения аудиторского мероприятия, а также сведения о руководителе и членах аудиторской группы или об уполномоченном должностном лице.</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2.17. При проведении аудиторской проверки должны быть получены достаточные, надлежащие и надежные доказательства.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К доказательствам относятся информация и данные:</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основанные на документах и иных материалах, подготавливаемых или получаемых в связи с проведением аудиторской проверки;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подтверждающие наличие выявленных недостатков и (или) нарушений при выполнении объектами аудита внутренних бюджетных процедур;</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являющиеся основанием для выводов и предложений по результатам аудиторской проверки.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2.18. Проведение аудиторской проверки подлежит документированию. Материалы аудиторской проверки должны содержать:</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документы, отражающие подготовку к проведению аудиторского мероприятия, включая формирование его программы;</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документы и фактические данные, информация, связанные с выполнением бюджетных процедур;</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объяснения, полученные в ходе проведения аудиторского мероприятия, в том числе от субъектов бюджетных процедур;</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информация о контрольных действиях, совершаемых при выполнении бюджетной процедуры, являющейся объектом внутреннего финансового аудита;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аналитические материалы, подготовленные в рамках проведения аудиторского мероприятия;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копии обращений к экспертам и (или) к лицам, располагающим документами и фактическими данными, информацией, необходимыми для проведения аудиторского мероприятия, направленных в ходе проведения аудиторского мероприятия, и полученные от них сведения.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2.19. Предельные сроки проведения аудиторских проверок, основания для их приостановления и продления устанавливаются главным администратором бюджетных средств.</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2.20. Результаты аудиторской проверки оформляются заключением  аудиторской проверки.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Заключение  аудиторской проверки подписывается должностными лицами главного администратора бюджетных средств, наделенными полномочиями по внутреннему финансовому аудиту, и вручается руководителю объекта аудита (иному лицу, уполномоченному на получение заключения).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заключение аудиторской проверки должен содержать результаты проведения аудиторского мероприятия, включая описание выявленных нарушений и (или) недостатков, бюджетных рисков, и содержать выводы, предложения и рекомендации, в том числе предложения по мерам минимизации (устранения) бюджетных рисков и по организации внутреннего финансового контроля.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2.21. Форма заключения аудиторской проверки, правила направления и сроки рассмотрения заключения объектом аудита устанавливаются Стандартом внутреннего финансового аудита.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2.22. В течение финансового года в случаях, когда должностными лицами, уполномоченными на осуществление внутреннего финансового аудита, выявлены нарушения (или риски их возникновения), требующие безотлагательных действий по их устранению (предотвращению), указанными должностными лицами доводится необходимая информация до руководителя главного администратора бюджетных средств для принятия им соответствующих решений.</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2.23. При выявлении в результате аудиторской проверки факта совершения должностными лицами и (или) объектом аудита действия (бездействия), содержащего признаки административного правонарушения, главный администратор бюджетных средств направляет в срок до 10 рабочих дней со дня окончания аудиторской проверки информацию о совершении указанного действия (бездействия) и подтверждающие такой факт документы в орган, уполномоченный на осуществление внутреннего муниципального финансового контроля.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При выявлении в результате аудиторской проверки факта совершения должностными лицами объекта аудита действия (бездействия), содержащего признаки состава преступления, главный администратор бюджетных средств в срок до 10 рабочих дней со дня окончания аудиторской проверки направляет информацию о совершении указанного действия (бездействия) и подтверждающие такой факт документы в правоохранительные органы.</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3.24. Информация о результатах внутреннего финансового аудита за финансовый год направляется уполномоченным должностным лицом руководителю (лицу, уполномоченному руководителем) главного администратора бюджетных средств до 1 апреля года, следующего за отчетным.</w:t>
      </w:r>
    </w:p>
    <w:p>
      <w:pPr>
        <w:autoSpaceDE w:val="0"/>
        <w:autoSpaceDN w:val="0"/>
        <w:adjustRightInd w:val="0"/>
        <w:spacing w:after="0" w:line="240" w:lineRule="auto"/>
        <w:jc w:val="both"/>
        <w:rPr>
          <w:rFonts w:ascii="Times New Roman" w:hAnsi="Times New Roman" w:cs="Times New Roman"/>
          <w:bCs/>
          <w:sz w:val="28"/>
          <w:szCs w:val="28"/>
        </w:rPr>
      </w:pPr>
    </w:p>
    <w:p>
      <w:pPr>
        <w:autoSpaceDE w:val="0"/>
        <w:autoSpaceDN w:val="0"/>
        <w:adjustRightInd w:val="0"/>
        <w:spacing w:after="0" w:line="240" w:lineRule="auto"/>
        <w:jc w:val="both"/>
        <w:rPr>
          <w:rFonts w:ascii="Times New Roman" w:hAnsi="Times New Roman" w:cs="Times New Roman"/>
          <w:bCs/>
          <w:sz w:val="28"/>
          <w:szCs w:val="28"/>
        </w:rPr>
      </w:pPr>
    </w:p>
    <w:p>
      <w:pPr>
        <w:autoSpaceDE w:val="0"/>
        <w:autoSpaceDN w:val="0"/>
        <w:adjustRightInd w:val="0"/>
        <w:spacing w:after="0" w:line="240" w:lineRule="auto"/>
        <w:jc w:val="both"/>
        <w:rPr>
          <w:rFonts w:ascii="Times New Roman" w:hAnsi="Times New Roman" w:cs="Times New Roman"/>
          <w:bCs/>
          <w:sz w:val="28"/>
          <w:szCs w:val="28"/>
        </w:rPr>
      </w:pPr>
    </w:p>
    <w:p>
      <w:pPr>
        <w:autoSpaceDE w:val="0"/>
        <w:autoSpaceDN w:val="0"/>
        <w:adjustRightInd w:val="0"/>
        <w:spacing w:after="0" w:line="240" w:lineRule="auto"/>
        <w:jc w:val="both"/>
        <w:rPr>
          <w:rFonts w:ascii="Times New Roman" w:hAnsi="Times New Roman" w:cs="Times New Roman"/>
          <w:bCs/>
          <w:sz w:val="28"/>
          <w:szCs w:val="28"/>
        </w:rPr>
      </w:pPr>
    </w:p>
    <w:p>
      <w:pPr>
        <w:autoSpaceDE w:val="0"/>
        <w:autoSpaceDN w:val="0"/>
        <w:adjustRightInd w:val="0"/>
        <w:spacing w:after="0" w:line="240" w:lineRule="auto"/>
        <w:jc w:val="both"/>
        <w:rPr>
          <w:rFonts w:ascii="Times New Roman" w:hAnsi="Times New Roman" w:cs="Times New Roman"/>
          <w:bCs/>
          <w:sz w:val="28"/>
          <w:szCs w:val="28"/>
        </w:rPr>
      </w:pPr>
    </w:p>
    <w:p>
      <w:pPr>
        <w:autoSpaceDE w:val="0"/>
        <w:autoSpaceDN w:val="0"/>
        <w:adjustRightInd w:val="0"/>
        <w:spacing w:after="0" w:line="240" w:lineRule="auto"/>
        <w:jc w:val="right"/>
        <w:outlineLvl w:val="0"/>
        <w:rPr>
          <w:rFonts w:ascii="Times New Roman" w:hAnsi="Times New Roman" w:cs="Times New Roman"/>
          <w:bCs/>
          <w:sz w:val="28"/>
          <w:szCs w:val="28"/>
        </w:rPr>
      </w:pPr>
      <w:r>
        <w:rPr>
          <w:rFonts w:ascii="Times New Roman" w:hAnsi="Times New Roman" w:cs="Times New Roman"/>
          <w:bCs/>
          <w:sz w:val="28"/>
          <w:szCs w:val="28"/>
        </w:rPr>
        <w:t>Приложение N 2</w:t>
      </w:r>
    </w:p>
    <w:p>
      <w:pPr>
        <w:autoSpaceDE w:val="0"/>
        <w:autoSpaceDN w:val="0"/>
        <w:adjustRightInd w:val="0"/>
        <w:spacing w:after="0" w:line="240" w:lineRule="auto"/>
        <w:jc w:val="both"/>
        <w:rPr>
          <w:rFonts w:ascii="Times New Roman" w:hAnsi="Times New Roman" w:cs="Times New Roman"/>
          <w:bCs/>
          <w:sz w:val="28"/>
          <w:szCs w:val="28"/>
        </w:rPr>
      </w:pPr>
    </w:p>
    <w:p>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Утвержден</w:t>
      </w:r>
    </w:p>
    <w:p>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постановлением</w:t>
      </w:r>
    </w:p>
    <w:p>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администрации</w:t>
      </w:r>
    </w:p>
    <w:p>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Мурашинского  муниципального округа</w:t>
      </w:r>
    </w:p>
    <w:p>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Кировской области</w:t>
      </w:r>
    </w:p>
    <w:p>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от _______________ г. N _____</w:t>
      </w:r>
    </w:p>
    <w:p>
      <w:pPr>
        <w:autoSpaceDE w:val="0"/>
        <w:autoSpaceDN w:val="0"/>
        <w:adjustRightInd w:val="0"/>
        <w:spacing w:after="0" w:line="240" w:lineRule="auto"/>
        <w:jc w:val="both"/>
        <w:rPr>
          <w:rFonts w:ascii="Times New Roman" w:hAnsi="Times New Roman" w:cs="Times New Roman"/>
          <w:bCs/>
          <w:sz w:val="28"/>
          <w:szCs w:val="28"/>
        </w:rPr>
      </w:pPr>
    </w:p>
    <w:p>
      <w:pPr>
        <w:autoSpaceDE w:val="0"/>
        <w:autoSpaceDN w:val="0"/>
        <w:adjustRightInd w:val="0"/>
        <w:spacing w:after="0" w:line="240" w:lineRule="auto"/>
        <w:jc w:val="center"/>
        <w:rPr>
          <w:rFonts w:ascii="Times New Roman" w:hAnsi="Times New Roman" w:cs="Times New Roman"/>
          <w:bCs/>
          <w:sz w:val="28"/>
          <w:szCs w:val="28"/>
        </w:rPr>
      </w:pPr>
    </w:p>
    <w:p>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СТАНДАРТ</w:t>
      </w:r>
    </w:p>
    <w:p>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ОСУЩЕСТВЛЕНИЯ ВНУТРЕННЕГО ФИНАНСОВОГО АУДИТА</w:t>
      </w:r>
    </w:p>
    <w:p>
      <w:pPr>
        <w:autoSpaceDE w:val="0"/>
        <w:autoSpaceDN w:val="0"/>
        <w:adjustRightInd w:val="0"/>
        <w:spacing w:after="0" w:line="240" w:lineRule="auto"/>
        <w:jc w:val="both"/>
        <w:rPr>
          <w:rFonts w:ascii="Times New Roman" w:hAnsi="Times New Roman" w:cs="Times New Roman"/>
          <w:bCs/>
          <w:sz w:val="28"/>
          <w:szCs w:val="28"/>
        </w:rPr>
      </w:pPr>
    </w:p>
    <w:p>
      <w:pPr>
        <w:autoSpaceDE w:val="0"/>
        <w:autoSpaceDN w:val="0"/>
        <w:adjustRightInd w:val="0"/>
        <w:spacing w:after="0" w:line="240" w:lineRule="auto"/>
        <w:ind w:firstLine="540"/>
        <w:jc w:val="both"/>
        <w:outlineLvl w:val="1"/>
        <w:rPr>
          <w:rFonts w:ascii="Times New Roman" w:hAnsi="Times New Roman" w:cs="Times New Roman"/>
          <w:bCs/>
          <w:sz w:val="28"/>
          <w:szCs w:val="28"/>
        </w:rPr>
      </w:pPr>
      <w:r>
        <w:rPr>
          <w:rFonts w:ascii="Times New Roman" w:hAnsi="Times New Roman" w:cs="Times New Roman"/>
          <w:bCs/>
          <w:sz w:val="28"/>
          <w:szCs w:val="28"/>
        </w:rPr>
        <w:t>1. Общие положения.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1.1. Стандарт осуществления внутреннего финансового аудита (далее - Стандарт) определяет порядок осуществления внутреннего финансового аудита (далее - Порядок), устанавливает правила осуществления уполномоченными должностными лицами внутреннего финансового аудита.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1.2. Целью Стандарта является установление единых правил планирования и проведения главным администратором бюджетных средств контрольных мероприятий по внутреннему финансовому аудиту.</w:t>
      </w:r>
    </w:p>
    <w:p>
      <w:pPr>
        <w:autoSpaceDE w:val="0"/>
        <w:autoSpaceDN w:val="0"/>
        <w:adjustRightInd w:val="0"/>
        <w:spacing w:before="280" w:after="0" w:line="240" w:lineRule="auto"/>
        <w:ind w:firstLine="540"/>
        <w:jc w:val="both"/>
        <w:outlineLvl w:val="1"/>
        <w:rPr>
          <w:rFonts w:ascii="Times New Roman" w:hAnsi="Times New Roman" w:cs="Times New Roman"/>
          <w:bCs/>
          <w:sz w:val="28"/>
          <w:szCs w:val="28"/>
        </w:rPr>
      </w:pPr>
      <w:r>
        <w:rPr>
          <w:rFonts w:ascii="Times New Roman" w:hAnsi="Times New Roman" w:cs="Times New Roman"/>
          <w:bCs/>
          <w:sz w:val="28"/>
          <w:szCs w:val="28"/>
        </w:rPr>
        <w:t>2. Планирование контрольных мероприятий по внутреннему финансовому аудиту.</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2.1. План внутреннего финансового аудита (далее - план финансового аудита) представляет собой перечень планируемых к проведению в очередном финансовом году аудиторских мероприятий с указанием объекта аудита, темы и даты (месяца) окончания указанного мероприятия.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2.2. План аудита формируется должностным лицом, уполномоченным на осуществление внутреннего финансового аудита.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2.3. План аудита утверждается руководителем главного администратора бюджетных средств до начала очередного финансового года.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fldChar w:fldCharType="begin"/>
      </w:r>
      <w:r>
        <w:instrText xml:space="preserve"> HYPERLINK \l "Par232" </w:instrText>
      </w:r>
      <w:r>
        <w:fldChar w:fldCharType="separate"/>
      </w:r>
      <w:r>
        <w:rPr>
          <w:rFonts w:ascii="Times New Roman" w:hAnsi="Times New Roman" w:cs="Times New Roman"/>
          <w:bCs/>
          <w:color w:val="0000FF"/>
          <w:sz w:val="28"/>
          <w:szCs w:val="28"/>
        </w:rPr>
        <w:t>План</w:t>
      </w:r>
      <w:r>
        <w:rPr>
          <w:rFonts w:ascii="Times New Roman" w:hAnsi="Times New Roman" w:cs="Times New Roman"/>
          <w:bCs/>
          <w:color w:val="0000FF"/>
          <w:sz w:val="28"/>
          <w:szCs w:val="28"/>
        </w:rPr>
        <w:fldChar w:fldCharType="end"/>
      </w:r>
      <w:r>
        <w:rPr>
          <w:rFonts w:ascii="Times New Roman" w:hAnsi="Times New Roman" w:cs="Times New Roman"/>
          <w:bCs/>
          <w:sz w:val="28"/>
          <w:szCs w:val="28"/>
        </w:rPr>
        <w:t xml:space="preserve"> внутреннего финансового аудита оформляется согласно приложению N 1 к настоящему Стандарту.</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2.4. Темы аудиторских проверок формулируются исходя из следующих направлений аудита: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аудит надежности системы внутреннего финансового контроля;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аудит достоверности бюджетной отчетности главного администратора бюджетных средств и (или) подведомственных ему получателей бюджетных средств;</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аудит экономности и результативности использования бюджетных средств.</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2.5. При планировании аудиторских проверок учитываются: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значимость операций (действий по формированию документов, необходимых для выполнения внутренней бюджетной процедуры), групп однотипных операций, осуществляемых объектами аудита, которые могут оказать значительное влияние на качество выполнения внутренней бюджетной процедуры и годовую и (или) квартальную бюджетную отчетность в случае ненадлежащего осуществления этих операций;</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факторы, влияющие на объем выборки проверяемых операций (действий по формированию документов, необходимых для выполнения внутренней бюджетной процедуры) для оценки надежности внутреннего финансового контроля;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наличие значимых бюджетных рисков после проведения процедур внутреннего финансового контроля;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степень обеспеченности субъекта внутреннего финансового аудита ресурсами (трудовыми, материальными и финансовыми);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возможность проведения аудиторских проверок в установленные сроки;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наличие резерва времени для выполнения внеплановых аудиторских проверок;</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результаты осуществления объектом аудита внутреннего финансового контроля за период, подлежащий аудиторской проверке;</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проведение в текущем и (или) отчетном финансовом году в отношении финансово-хозяйственной деятельности объектов аудита контрольных мероприятий органами муниципального финансового контроля.</w:t>
      </w:r>
    </w:p>
    <w:p>
      <w:pPr>
        <w:autoSpaceDE w:val="0"/>
        <w:autoSpaceDN w:val="0"/>
        <w:adjustRightInd w:val="0"/>
        <w:spacing w:before="280" w:after="0" w:line="240" w:lineRule="auto"/>
        <w:ind w:firstLine="540"/>
        <w:jc w:val="both"/>
        <w:outlineLvl w:val="1"/>
        <w:rPr>
          <w:rFonts w:ascii="Times New Roman" w:hAnsi="Times New Roman" w:cs="Times New Roman"/>
          <w:bCs/>
          <w:sz w:val="28"/>
          <w:szCs w:val="28"/>
        </w:rPr>
      </w:pPr>
      <w:r>
        <w:rPr>
          <w:rFonts w:ascii="Times New Roman" w:hAnsi="Times New Roman" w:cs="Times New Roman"/>
          <w:bCs/>
          <w:sz w:val="28"/>
          <w:szCs w:val="28"/>
        </w:rPr>
        <w:t>3. Правила проведения контрольного мероприятия по внутреннему финансовому аудиту.</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3.1. Аудиторская проверка назначается руководителем главного администратора бюджетных средств и проводится на основании утвержденной им программы аудиторской проверки.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3.2. Программа аудиторской проверки должна содержать основание и сроки проведения, цели и задачи, методы аудиторского мероприятия, наименование объекта внутреннего финансового аудита и перечень вопросов, подлежащих изучению в ходе проведения аудиторского мероприятия, а также сведения о руководителе и членах аудиторской группы или об уполномоченном должностном лице.</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3.3. По методу проведения аудиторские проверки подразделяются на камеральные, выездные и комбинированные.</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Камеральная аудиторская проверка проводится по месту нахождения главного администратора бюджетных средств на основании бюджетной (бухгалтерской) отчетности и иных документов, представленных по его запросу.</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Выездная аудиторская проверка проводится по месту нахождения объекта аудита, в ходе которой в том числе определяется фактическое соответствие совершенных операций (действий по формированию документов, необходимых для выполнения внутренней бюджетной процедуры) данным бюджетной (бухгалтерской) отчетности и первичным документам.</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Комбинированная проверка проводится как по месту нахождения субъекта внутреннего финансового аудита, так и по месту нахождения объектов аудита.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3.4. Аудиторская проверка проводится путем выполнения: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инспектирования, представляющего собой изучение записей и документов, связанных с выполнением внутренней бюджетной процедуры, и (или) материальных активов;</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запроса, представляющего собой письменное обращение к осведомленным лицам объекта аудита в целях получения сведений, необходимых для проведения аудиторской проверки;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опроса, представляющего собой устное обращение к осведомленным должностным лицам объекта аудита в целях получения сведений, необходимых для проведения аудиторской проверки;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подтверждения, представляющего собой ответ на запрос информации, содержащейся в регистрах бюджетного учета;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пересчета, представляющего собой проверку точности арифметических расчетов, произведенных объектом аудита;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аналитических процедур, представляющих собой анализ соотношений и закономерностей, основанных на сведениях о выполнении объектом аудита внутренних бюджетных процедур,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наблюдения, представляющего собой изучение действий по выполнению бюджетных процедур;</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мониторинга процедур внутреннего финансового контроля, представляющего собой регулярный процесс изучения контрольных действий и их результатов, оценки надежности внутреннего финансового контроля.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3.5. При проведении аудиторской проверки должны быть получены достаточные, надлежащие и надежные доказательства.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К доказательствам относятся информация и данные:</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основанные на документах и иных материалах, подготавливаемых или получаемых в связи с проведением аудиторской проверки;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подтверждающие наличие выявленных недостатков и (или) нарушений при выполнении объектами аудита внутренних бюджетных процедур;</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являющиеся основанием для выводов и предложений по результатам аудиторской проверки.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3.6. Проведение аудиторской проверки подлежит документированию. Материалы аудиторской проверки должны содержать:</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документы, отражающие подготовку к проведению аудиторского мероприятия, включая формирование его программы;</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документы и фактические данные, информацию, связанную с выполнением бюджетных процедур;</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объяснения, полученные в ходе проведения аудиторского мероприятия, в том числе от субъектов бюджетных процедур;</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информацию о контрольных действиях, совершаемых при выполнении бюджетной процедуры, являющейся объектом внутреннего финансового аудита;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аналитические материалы, подготовленные в рамках проведения аудиторского мероприятия;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копии обращений к экспертам и (или) к лицам, располагающим документами и фактическими данными, информацией, необходимыми для проведения аудиторского мероприятия, направленных в ходе проведения аудиторского мероприятия, и полученные от них сведения.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3.7. Результаты аудиторской проверки оформляются заключением  аудиторской проверки.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Заключение  аудиторской проверки должен содержать результаты проведения аудиторского мероприятия, включая описание выявленных нарушений и (или) недостатков, бюджетных рисков, и содержать выводы, предложения и рекомендации, в том числе предложения по мерам минимизации (устранения) бюджетных рисков и по организации внутреннего финансового контроля.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3.8. </w:t>
      </w:r>
      <w:r>
        <w:fldChar w:fldCharType="begin"/>
      </w:r>
      <w:r>
        <w:instrText xml:space="preserve"> HYPERLINK \l "Par262" </w:instrText>
      </w:r>
      <w:r>
        <w:fldChar w:fldCharType="separate"/>
      </w:r>
      <w:r>
        <w:rPr>
          <w:rFonts w:ascii="Times New Roman" w:hAnsi="Times New Roman" w:cs="Times New Roman"/>
          <w:bCs/>
          <w:color w:val="0000FF"/>
          <w:sz w:val="28"/>
          <w:szCs w:val="28"/>
        </w:rPr>
        <w:t>Заключение</w:t>
      </w:r>
      <w:r>
        <w:rPr>
          <w:rFonts w:ascii="Times New Roman" w:hAnsi="Times New Roman" w:cs="Times New Roman"/>
          <w:bCs/>
          <w:color w:val="0000FF"/>
          <w:sz w:val="28"/>
          <w:szCs w:val="28"/>
        </w:rPr>
        <w:fldChar w:fldCharType="end"/>
      </w:r>
      <w:r>
        <w:rPr>
          <w:rFonts w:ascii="Times New Roman" w:hAnsi="Times New Roman" w:cs="Times New Roman"/>
          <w:bCs/>
          <w:sz w:val="28"/>
          <w:szCs w:val="28"/>
        </w:rPr>
        <w:t xml:space="preserve">  по результатам контрольного мероприятия (далее – Заключение ) оформляется по форме согласно приложению N 2 к настоящему Стандарту.</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3.9. Заключение  состоит из вводной, описательной и заключительной частей.</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Вводная часть акта должна содержать следующие сведения: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место составления акта;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дата окончания проведения контрольного мероприятия;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тема контрольного мероприятия;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проверяемый период деятельности объекта контроля;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дата начала проведения контрольного мероприятия;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сведения об объекте контроля: полное и сокращенное наименование объекта контроля; сведения о лице, осуществляющем функции и полномочия учредителя (при наличии), фамилии, инициалы и должности лиц объекта контроля, имевших право подписи финансовых документов в проверяемом периоде, период работы, идентификационный номер налогоплательщика (ИНН), номер и дата свидетельства о внесении записи в Единый государственный реестр юридических лиц, код причины постановки на учет (КПП), основной регистрационный номер (ОГРН);</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перечень и реквизиты всех лицевых счетов, открытых в финансовых органах и в органах Федерального казначейства;</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иные данные, характеризующие деятельность объекта контроля.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Описательная часть акта должна содержать результаты контрольного мероприятия на объекте контроля по всем вопросам, указанным в Программе.</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Заключительная часть должна содержать обобщенную информацию о результатах проверки, предложения, рекомендации по устранению выявленных недостатков и (или) нарушений по принятию мер, направленных на исключение (минимизацию) бюджетных рисков, по актуализации карт внутреннего финансового контроля.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3.10. Заключение  аудиторской проверки подписывается должностными лицами главного администратора бюджетных средств, наделенными полномочиями по внутреннему финансовому аудиту, и вручается руководителю объекта аудита (иному лицу, уполномоченному на получение заключения).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Срок для вручения заключения руководителю объекта аудита (иному лицу, уполномоченному на получение акта) установлен в количестве 3 рабочих дней со дня окончания проверки.</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3.11. Срок ознакомления и предоставления возражений (в случае их наличия) объектом аудита устанавливается в количестве 7 рабочих дней со дня получения объектом аудита заключения.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3.12. В течение финансового года в случаях, когда должностными лицами, уполномоченными на осуществление внутреннего финансового аудита, выявлены нарушения (или риски их возникновения), требующие безотлагательных действий по их устранению (предотвращению), указанными должностными лицами доводится необходимая информация до руководителя главного администратора бюджетных средств для принятия им соответствующих решений.</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3.13 При выявлении в результате аудиторской проверки факта совершения должностными лицами и (или) объектом аудита действия (бездействия), содержащего признаки административного правонарушения, главный администратор бюджетных средств направляет в срок до 10 рабочих дней со дня окончания аудиторской проверки информацию о совершении указанного действия (бездействия) и подтверждающие такой факт документы в орган, уполномоченный на осуществление внутреннего муниципального финансового контроля.</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При выявлении в результате аудиторской проверки факта совершения должностными лицами объекта аудита действия (бездействия), содержащего признаки состава преступления, главный администратор бюджетных средств в срок до 10 рабочих дней со дня окончания аудиторской проверки направляет информацию о совершении указанного действия (бездействия) и подтверждающие такой факт документы в правоохранительные органы.</w:t>
      </w:r>
    </w:p>
    <w:p>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3.14. Информация о результатах внутреннего финансового аудита за финансовый год направляется уполномоченным должностным лицом руководителю (лицу, уполномоченному руководителем) главного администратора бюджетных средств до 1 апреля года, следующего за отчетным.</w:t>
      </w:r>
    </w:p>
    <w:p>
      <w:pPr>
        <w:autoSpaceDE w:val="0"/>
        <w:autoSpaceDN w:val="0"/>
        <w:adjustRightInd w:val="0"/>
        <w:spacing w:after="0" w:line="240" w:lineRule="auto"/>
        <w:jc w:val="both"/>
        <w:rPr>
          <w:rFonts w:ascii="Times New Roman" w:hAnsi="Times New Roman" w:cs="Times New Roman"/>
          <w:bCs/>
          <w:sz w:val="28"/>
          <w:szCs w:val="28"/>
        </w:rPr>
      </w:pPr>
    </w:p>
    <w:p>
      <w:pPr>
        <w:autoSpaceDE w:val="0"/>
        <w:autoSpaceDN w:val="0"/>
        <w:adjustRightInd w:val="0"/>
        <w:spacing w:after="0" w:line="240" w:lineRule="auto"/>
        <w:jc w:val="both"/>
        <w:rPr>
          <w:rFonts w:ascii="Times New Roman" w:hAnsi="Times New Roman" w:cs="Times New Roman"/>
          <w:bCs/>
          <w:sz w:val="28"/>
          <w:szCs w:val="28"/>
        </w:rPr>
      </w:pPr>
    </w:p>
    <w:p>
      <w:pPr>
        <w:autoSpaceDE w:val="0"/>
        <w:autoSpaceDN w:val="0"/>
        <w:adjustRightInd w:val="0"/>
        <w:spacing w:after="0" w:line="240" w:lineRule="auto"/>
        <w:jc w:val="both"/>
        <w:rPr>
          <w:rFonts w:ascii="Times New Roman" w:hAnsi="Times New Roman" w:cs="Times New Roman"/>
          <w:bCs/>
          <w:sz w:val="28"/>
          <w:szCs w:val="28"/>
        </w:rPr>
      </w:pPr>
    </w:p>
    <w:p>
      <w:pPr>
        <w:autoSpaceDE w:val="0"/>
        <w:autoSpaceDN w:val="0"/>
        <w:adjustRightInd w:val="0"/>
        <w:spacing w:after="0" w:line="240" w:lineRule="auto"/>
        <w:jc w:val="both"/>
        <w:rPr>
          <w:rFonts w:ascii="Times New Roman" w:hAnsi="Times New Roman" w:cs="Times New Roman"/>
          <w:bCs/>
          <w:sz w:val="28"/>
          <w:szCs w:val="28"/>
        </w:rPr>
      </w:pPr>
    </w:p>
    <w:p>
      <w:pPr>
        <w:autoSpaceDE w:val="0"/>
        <w:autoSpaceDN w:val="0"/>
        <w:adjustRightInd w:val="0"/>
        <w:spacing w:after="0" w:line="240" w:lineRule="auto"/>
        <w:jc w:val="both"/>
        <w:rPr>
          <w:rFonts w:ascii="Times New Roman" w:hAnsi="Times New Roman" w:cs="Times New Roman"/>
          <w:bCs/>
          <w:sz w:val="28"/>
          <w:szCs w:val="28"/>
        </w:rPr>
      </w:pPr>
    </w:p>
    <w:p>
      <w:pPr>
        <w:autoSpaceDE w:val="0"/>
        <w:autoSpaceDN w:val="0"/>
        <w:adjustRightInd w:val="0"/>
        <w:spacing w:after="0" w:line="240" w:lineRule="auto"/>
        <w:jc w:val="right"/>
        <w:outlineLvl w:val="1"/>
        <w:rPr>
          <w:rFonts w:ascii="Times New Roman" w:hAnsi="Times New Roman" w:cs="Times New Roman"/>
          <w:bCs/>
          <w:sz w:val="28"/>
          <w:szCs w:val="28"/>
        </w:rPr>
      </w:pPr>
      <w:r>
        <w:rPr>
          <w:rFonts w:ascii="Times New Roman" w:hAnsi="Times New Roman" w:cs="Times New Roman"/>
          <w:bCs/>
          <w:sz w:val="28"/>
          <w:szCs w:val="28"/>
        </w:rPr>
        <w:t>Приложение N 1</w:t>
      </w:r>
    </w:p>
    <w:p>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 Стандарту</w:t>
      </w:r>
    </w:p>
    <w:p>
      <w:pPr>
        <w:autoSpaceDE w:val="0"/>
        <w:autoSpaceDN w:val="0"/>
        <w:adjustRightInd w:val="0"/>
        <w:spacing w:after="0" w:line="240" w:lineRule="auto"/>
        <w:jc w:val="both"/>
        <w:rPr>
          <w:rFonts w:ascii="Times New Roman" w:hAnsi="Times New Roman" w:cs="Times New Roman"/>
          <w:bCs/>
          <w:sz w:val="28"/>
          <w:szCs w:val="28"/>
        </w:rPr>
      </w:pPr>
    </w:p>
    <w:tbl>
      <w:tblPr>
        <w:tblStyle w:val="3"/>
        <w:tblW w:w="0" w:type="auto"/>
        <w:tblInd w:w="0" w:type="dxa"/>
        <w:tblLayout w:type="fixed"/>
        <w:tblCellMar>
          <w:top w:w="102" w:type="dxa"/>
          <w:left w:w="62" w:type="dxa"/>
          <w:bottom w:w="102" w:type="dxa"/>
          <w:right w:w="62" w:type="dxa"/>
        </w:tblCellMar>
      </w:tblPr>
      <w:tblGrid>
        <w:gridCol w:w="9071"/>
      </w:tblGrid>
      <w:tr>
        <w:tblPrEx>
          <w:tblCellMar>
            <w:top w:w="102" w:type="dxa"/>
            <w:left w:w="62" w:type="dxa"/>
            <w:bottom w:w="102" w:type="dxa"/>
            <w:right w:w="62" w:type="dxa"/>
          </w:tblCellMar>
        </w:tblPrEx>
        <w:tc>
          <w:tcPr>
            <w:tcW w:w="9071" w:type="dxa"/>
          </w:tcPr>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УТВЕРЖДАЮ:</w:t>
            </w:r>
          </w:p>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______________________</w:t>
            </w:r>
          </w:p>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"___" ___________ 20__ г.</w:t>
            </w:r>
          </w:p>
          <w:p>
            <w:pPr>
              <w:autoSpaceDE w:val="0"/>
              <w:autoSpaceDN w:val="0"/>
              <w:adjustRightInd w:val="0"/>
              <w:spacing w:after="0" w:line="240" w:lineRule="auto"/>
              <w:rPr>
                <w:rFonts w:ascii="Times New Roman" w:hAnsi="Times New Roman" w:cs="Times New Roman"/>
                <w:bCs/>
                <w:sz w:val="28"/>
                <w:szCs w:val="28"/>
              </w:rPr>
            </w:pPr>
          </w:p>
          <w:p>
            <w:pPr>
              <w:autoSpaceDE w:val="0"/>
              <w:autoSpaceDN w:val="0"/>
              <w:adjustRightInd w:val="0"/>
              <w:spacing w:after="0" w:line="240" w:lineRule="auto"/>
              <w:rPr>
                <w:rFonts w:ascii="Times New Roman" w:hAnsi="Times New Roman" w:cs="Times New Roman"/>
                <w:bCs/>
                <w:sz w:val="28"/>
                <w:szCs w:val="28"/>
              </w:rPr>
            </w:pPr>
          </w:p>
          <w:p>
            <w:pPr>
              <w:autoSpaceDE w:val="0"/>
              <w:autoSpaceDN w:val="0"/>
              <w:adjustRightInd w:val="0"/>
              <w:spacing w:after="0" w:line="240" w:lineRule="auto"/>
              <w:rPr>
                <w:rFonts w:ascii="Times New Roman" w:hAnsi="Times New Roman" w:cs="Times New Roman"/>
                <w:bCs/>
                <w:sz w:val="28"/>
                <w:szCs w:val="28"/>
              </w:rPr>
            </w:pPr>
          </w:p>
          <w:p>
            <w:pPr>
              <w:autoSpaceDE w:val="0"/>
              <w:autoSpaceDN w:val="0"/>
              <w:adjustRightInd w:val="0"/>
              <w:spacing w:after="0" w:line="240" w:lineRule="auto"/>
              <w:rPr>
                <w:rFonts w:ascii="Times New Roman" w:hAnsi="Times New Roman" w:cs="Times New Roman"/>
                <w:bCs/>
                <w:sz w:val="28"/>
                <w:szCs w:val="28"/>
              </w:rPr>
            </w:pPr>
          </w:p>
        </w:tc>
      </w:tr>
      <w:tr>
        <w:tblPrEx>
          <w:tblCellMar>
            <w:top w:w="102" w:type="dxa"/>
            <w:left w:w="62" w:type="dxa"/>
            <w:bottom w:w="102" w:type="dxa"/>
            <w:right w:w="62" w:type="dxa"/>
          </w:tblCellMar>
        </w:tblPrEx>
        <w:tc>
          <w:tcPr>
            <w:tcW w:w="9071" w:type="dxa"/>
          </w:tcPr>
          <w:p>
            <w:pPr>
              <w:autoSpaceDE w:val="0"/>
              <w:autoSpaceDN w:val="0"/>
              <w:adjustRightInd w:val="0"/>
              <w:spacing w:after="0" w:line="240" w:lineRule="auto"/>
              <w:jc w:val="center"/>
              <w:rPr>
                <w:rFonts w:ascii="Times New Roman" w:hAnsi="Times New Roman" w:cs="Times New Roman"/>
                <w:bCs/>
                <w:sz w:val="28"/>
                <w:szCs w:val="28"/>
              </w:rPr>
            </w:pPr>
            <w:bookmarkStart w:id="1" w:name="Par232"/>
            <w:bookmarkEnd w:id="1"/>
            <w:r>
              <w:rPr>
                <w:rFonts w:ascii="Times New Roman" w:hAnsi="Times New Roman" w:cs="Times New Roman"/>
                <w:bCs/>
                <w:sz w:val="28"/>
                <w:szCs w:val="28"/>
              </w:rPr>
              <w:t>План внутреннего финансового аудита</w:t>
            </w:r>
          </w:p>
          <w:p>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на ______ год</w:t>
            </w:r>
          </w:p>
        </w:tc>
      </w:tr>
      <w:tr>
        <w:tblPrEx>
          <w:tblCellMar>
            <w:top w:w="102" w:type="dxa"/>
            <w:left w:w="62" w:type="dxa"/>
            <w:bottom w:w="102" w:type="dxa"/>
            <w:right w:w="62" w:type="dxa"/>
          </w:tblCellMar>
        </w:tblPrEx>
        <w:tc>
          <w:tcPr>
            <w:tcW w:w="9071" w:type="dxa"/>
          </w:tcPr>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Наименование главного администратора бюджетных средств ____________________</w:t>
            </w:r>
          </w:p>
        </w:tc>
      </w:tr>
    </w:tbl>
    <w:p>
      <w:pPr>
        <w:autoSpaceDE w:val="0"/>
        <w:autoSpaceDN w:val="0"/>
        <w:adjustRightInd w:val="0"/>
        <w:spacing w:after="0" w:line="240" w:lineRule="auto"/>
        <w:jc w:val="both"/>
        <w:rPr>
          <w:rFonts w:ascii="Times New Roman" w:hAnsi="Times New Roman" w:cs="Times New Roman"/>
          <w:bCs/>
          <w:sz w:val="28"/>
          <w:szCs w:val="28"/>
        </w:rPr>
      </w:pPr>
    </w:p>
    <w:tbl>
      <w:tblPr>
        <w:tblStyle w:val="3"/>
        <w:tblW w:w="0" w:type="auto"/>
        <w:tblInd w:w="0" w:type="dxa"/>
        <w:tblLayout w:type="fixed"/>
        <w:tblCellMar>
          <w:top w:w="102" w:type="dxa"/>
          <w:left w:w="62" w:type="dxa"/>
          <w:bottom w:w="102" w:type="dxa"/>
          <w:right w:w="62" w:type="dxa"/>
        </w:tblCellMar>
      </w:tblPr>
      <w:tblGrid>
        <w:gridCol w:w="567"/>
        <w:gridCol w:w="2835"/>
        <w:gridCol w:w="2835"/>
        <w:gridCol w:w="2835"/>
      </w:tblGrid>
      <w:tr>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N п/п</w:t>
            </w:r>
          </w:p>
        </w:tc>
        <w:tc>
          <w:tcPr>
            <w:tcW w:w="28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Объект внутреннего аудита</w:t>
            </w:r>
          </w:p>
        </w:tc>
        <w:tc>
          <w:tcPr>
            <w:tcW w:w="28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Тема аудиторской проверки</w:t>
            </w:r>
          </w:p>
        </w:tc>
        <w:tc>
          <w:tcPr>
            <w:tcW w:w="28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Дата (месяц) окончания указанного мероприятия</w:t>
            </w:r>
          </w:p>
        </w:tc>
      </w:tr>
      <w:tr>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bCs/>
                <w:sz w:val="28"/>
                <w:szCs w:val="28"/>
              </w:rPr>
            </w:pPr>
          </w:p>
        </w:tc>
        <w:tc>
          <w:tcPr>
            <w:tcW w:w="28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bCs/>
                <w:sz w:val="28"/>
                <w:szCs w:val="28"/>
              </w:rPr>
            </w:pPr>
          </w:p>
        </w:tc>
        <w:tc>
          <w:tcPr>
            <w:tcW w:w="28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bCs/>
                <w:sz w:val="28"/>
                <w:szCs w:val="28"/>
              </w:rPr>
            </w:pPr>
          </w:p>
        </w:tc>
        <w:tc>
          <w:tcPr>
            <w:tcW w:w="28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bCs/>
                <w:sz w:val="28"/>
                <w:szCs w:val="28"/>
              </w:rPr>
            </w:pPr>
          </w:p>
        </w:tc>
      </w:tr>
      <w:tr>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bCs/>
                <w:sz w:val="28"/>
                <w:szCs w:val="28"/>
              </w:rPr>
            </w:pPr>
          </w:p>
        </w:tc>
        <w:tc>
          <w:tcPr>
            <w:tcW w:w="28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bCs/>
                <w:sz w:val="28"/>
                <w:szCs w:val="28"/>
              </w:rPr>
            </w:pPr>
          </w:p>
        </w:tc>
        <w:tc>
          <w:tcPr>
            <w:tcW w:w="28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bCs/>
                <w:sz w:val="28"/>
                <w:szCs w:val="28"/>
              </w:rPr>
            </w:pPr>
          </w:p>
        </w:tc>
        <w:tc>
          <w:tcPr>
            <w:tcW w:w="28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Times New Roman" w:hAnsi="Times New Roman" w:cs="Times New Roman"/>
                <w:bCs/>
                <w:sz w:val="28"/>
                <w:szCs w:val="28"/>
              </w:rPr>
            </w:pPr>
          </w:p>
        </w:tc>
      </w:tr>
    </w:tbl>
    <w:p>
      <w:pPr>
        <w:autoSpaceDE w:val="0"/>
        <w:autoSpaceDN w:val="0"/>
        <w:adjustRightInd w:val="0"/>
        <w:spacing w:after="0" w:line="240" w:lineRule="auto"/>
        <w:jc w:val="both"/>
        <w:rPr>
          <w:rFonts w:ascii="Times New Roman" w:hAnsi="Times New Roman" w:cs="Times New Roman"/>
          <w:bCs/>
          <w:sz w:val="28"/>
          <w:szCs w:val="28"/>
        </w:rPr>
      </w:pPr>
    </w:p>
    <w:tbl>
      <w:tblPr>
        <w:tblStyle w:val="3"/>
        <w:tblW w:w="0" w:type="auto"/>
        <w:tblInd w:w="0" w:type="dxa"/>
        <w:tblLayout w:type="fixed"/>
        <w:tblCellMar>
          <w:top w:w="102" w:type="dxa"/>
          <w:left w:w="62" w:type="dxa"/>
          <w:bottom w:w="102" w:type="dxa"/>
          <w:right w:w="62" w:type="dxa"/>
        </w:tblCellMar>
      </w:tblPr>
      <w:tblGrid>
        <w:gridCol w:w="4309"/>
        <w:gridCol w:w="1709"/>
        <w:gridCol w:w="3057"/>
      </w:tblGrid>
      <w:tr>
        <w:tblPrEx>
          <w:tblCellMar>
            <w:top w:w="102" w:type="dxa"/>
            <w:left w:w="62" w:type="dxa"/>
            <w:bottom w:w="102" w:type="dxa"/>
            <w:right w:w="62" w:type="dxa"/>
          </w:tblCellMar>
        </w:tblPrEx>
        <w:tc>
          <w:tcPr>
            <w:tcW w:w="4309" w:type="dxa"/>
          </w:tcPr>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Уполномоченное должностное лицо на осуществление внутреннего аудита</w:t>
            </w:r>
          </w:p>
        </w:tc>
        <w:tc>
          <w:tcPr>
            <w:tcW w:w="1709" w:type="dxa"/>
          </w:tcPr>
          <w:p>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__________</w:t>
            </w:r>
          </w:p>
          <w:p>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(подпись)</w:t>
            </w:r>
          </w:p>
        </w:tc>
        <w:tc>
          <w:tcPr>
            <w:tcW w:w="3057" w:type="dxa"/>
          </w:tcPr>
          <w:p>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_____________________</w:t>
            </w:r>
          </w:p>
          <w:p>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(расшифровка подписи)</w:t>
            </w:r>
          </w:p>
        </w:tc>
      </w:tr>
    </w:tbl>
    <w:p>
      <w:pPr>
        <w:autoSpaceDE w:val="0"/>
        <w:autoSpaceDN w:val="0"/>
        <w:adjustRightInd w:val="0"/>
        <w:spacing w:after="0" w:line="240" w:lineRule="auto"/>
        <w:jc w:val="both"/>
        <w:rPr>
          <w:rFonts w:ascii="Times New Roman" w:hAnsi="Times New Roman" w:cs="Times New Roman"/>
          <w:bCs/>
          <w:sz w:val="28"/>
          <w:szCs w:val="28"/>
        </w:rPr>
      </w:pPr>
    </w:p>
    <w:p>
      <w:pPr>
        <w:autoSpaceDE w:val="0"/>
        <w:autoSpaceDN w:val="0"/>
        <w:adjustRightInd w:val="0"/>
        <w:spacing w:after="0" w:line="240" w:lineRule="auto"/>
        <w:jc w:val="both"/>
        <w:rPr>
          <w:rFonts w:ascii="Times New Roman" w:hAnsi="Times New Roman" w:cs="Times New Roman"/>
          <w:bCs/>
          <w:sz w:val="28"/>
          <w:szCs w:val="28"/>
        </w:rPr>
      </w:pPr>
    </w:p>
    <w:p>
      <w:pPr>
        <w:autoSpaceDE w:val="0"/>
        <w:autoSpaceDN w:val="0"/>
        <w:adjustRightInd w:val="0"/>
        <w:spacing w:after="0" w:line="240" w:lineRule="auto"/>
        <w:jc w:val="both"/>
        <w:rPr>
          <w:rFonts w:ascii="Times New Roman" w:hAnsi="Times New Roman" w:cs="Times New Roman"/>
          <w:bCs/>
          <w:sz w:val="28"/>
          <w:szCs w:val="28"/>
        </w:rPr>
      </w:pPr>
    </w:p>
    <w:p>
      <w:pPr>
        <w:autoSpaceDE w:val="0"/>
        <w:autoSpaceDN w:val="0"/>
        <w:adjustRightInd w:val="0"/>
        <w:spacing w:after="0" w:line="240" w:lineRule="auto"/>
        <w:jc w:val="both"/>
        <w:rPr>
          <w:rFonts w:ascii="Times New Roman" w:hAnsi="Times New Roman" w:cs="Times New Roman"/>
          <w:bCs/>
          <w:sz w:val="28"/>
          <w:szCs w:val="28"/>
        </w:rPr>
      </w:pPr>
    </w:p>
    <w:p>
      <w:pPr>
        <w:autoSpaceDE w:val="0"/>
        <w:autoSpaceDN w:val="0"/>
        <w:adjustRightInd w:val="0"/>
        <w:spacing w:after="0" w:line="240" w:lineRule="auto"/>
        <w:jc w:val="both"/>
        <w:rPr>
          <w:rFonts w:ascii="Times New Roman" w:hAnsi="Times New Roman" w:cs="Times New Roman"/>
          <w:bCs/>
          <w:sz w:val="28"/>
          <w:szCs w:val="28"/>
        </w:rPr>
      </w:pPr>
    </w:p>
    <w:p>
      <w:pPr>
        <w:autoSpaceDE w:val="0"/>
        <w:autoSpaceDN w:val="0"/>
        <w:adjustRightInd w:val="0"/>
        <w:spacing w:after="0" w:line="240" w:lineRule="auto"/>
        <w:jc w:val="right"/>
        <w:outlineLvl w:val="1"/>
        <w:rPr>
          <w:rFonts w:ascii="Times New Roman" w:hAnsi="Times New Roman" w:cs="Times New Roman"/>
          <w:bCs/>
          <w:sz w:val="28"/>
          <w:szCs w:val="28"/>
        </w:rPr>
      </w:pPr>
      <w:r>
        <w:rPr>
          <w:rFonts w:ascii="Times New Roman" w:hAnsi="Times New Roman" w:cs="Times New Roman"/>
          <w:bCs/>
          <w:sz w:val="28"/>
          <w:szCs w:val="28"/>
        </w:rPr>
        <w:t>Приложение N 2</w:t>
      </w:r>
    </w:p>
    <w:p>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 Стандарту</w:t>
      </w:r>
    </w:p>
    <w:p>
      <w:pPr>
        <w:autoSpaceDE w:val="0"/>
        <w:autoSpaceDN w:val="0"/>
        <w:adjustRightInd w:val="0"/>
        <w:spacing w:after="0" w:line="240" w:lineRule="auto"/>
        <w:jc w:val="both"/>
        <w:rPr>
          <w:rFonts w:ascii="Times New Roman" w:hAnsi="Times New Roman" w:cs="Times New Roman"/>
          <w:bCs/>
          <w:sz w:val="28"/>
          <w:szCs w:val="28"/>
        </w:rPr>
      </w:pPr>
    </w:p>
    <w:tbl>
      <w:tblPr>
        <w:tblStyle w:val="3"/>
        <w:tblW w:w="0" w:type="auto"/>
        <w:tblInd w:w="0" w:type="dxa"/>
        <w:tblLayout w:type="fixed"/>
        <w:tblCellMar>
          <w:top w:w="102" w:type="dxa"/>
          <w:left w:w="62" w:type="dxa"/>
          <w:bottom w:w="102" w:type="dxa"/>
          <w:right w:w="62" w:type="dxa"/>
        </w:tblCellMar>
      </w:tblPr>
      <w:tblGrid>
        <w:gridCol w:w="2158"/>
        <w:gridCol w:w="764"/>
        <w:gridCol w:w="510"/>
        <w:gridCol w:w="2445"/>
        <w:gridCol w:w="3194"/>
      </w:tblGrid>
      <w:tr>
        <w:tblPrEx>
          <w:tblCellMar>
            <w:top w:w="102" w:type="dxa"/>
            <w:left w:w="62" w:type="dxa"/>
            <w:bottom w:w="102" w:type="dxa"/>
            <w:right w:w="62" w:type="dxa"/>
          </w:tblCellMar>
        </w:tblPrEx>
        <w:tc>
          <w:tcPr>
            <w:tcW w:w="9071" w:type="dxa"/>
            <w:gridSpan w:val="5"/>
          </w:tcPr>
          <w:p>
            <w:pPr>
              <w:autoSpaceDE w:val="0"/>
              <w:autoSpaceDN w:val="0"/>
              <w:adjustRightInd w:val="0"/>
              <w:spacing w:after="0" w:line="240" w:lineRule="auto"/>
              <w:jc w:val="center"/>
              <w:rPr>
                <w:rFonts w:ascii="Times New Roman" w:hAnsi="Times New Roman" w:cs="Times New Roman"/>
                <w:bCs/>
                <w:sz w:val="24"/>
                <w:szCs w:val="24"/>
              </w:rPr>
            </w:pPr>
            <w:bookmarkStart w:id="2" w:name="Par262"/>
            <w:bookmarkEnd w:id="2"/>
            <w:r>
              <w:rPr>
                <w:rFonts w:ascii="Times New Roman" w:hAnsi="Times New Roman" w:cs="Times New Roman"/>
                <w:bCs/>
                <w:sz w:val="24"/>
                <w:szCs w:val="24"/>
              </w:rPr>
              <w:t>ЗАКЛЮЧЕНИЕ  N ___</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 результатам аудиторской проверки</w:t>
            </w:r>
          </w:p>
        </w:tc>
      </w:tr>
      <w:tr>
        <w:tblPrEx>
          <w:tblCellMar>
            <w:top w:w="102" w:type="dxa"/>
            <w:left w:w="62" w:type="dxa"/>
            <w:bottom w:w="102" w:type="dxa"/>
            <w:right w:w="62" w:type="dxa"/>
          </w:tblCellMar>
        </w:tblPrEx>
        <w:tc>
          <w:tcPr>
            <w:tcW w:w="3432" w:type="dxa"/>
            <w:gridSpan w:val="3"/>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__________________________</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(место составления)</w:t>
            </w:r>
          </w:p>
        </w:tc>
        <w:tc>
          <w:tcPr>
            <w:tcW w:w="2445" w:type="dxa"/>
          </w:tcPr>
          <w:p>
            <w:pPr>
              <w:autoSpaceDE w:val="0"/>
              <w:autoSpaceDN w:val="0"/>
              <w:adjustRightInd w:val="0"/>
              <w:spacing w:after="0" w:line="240" w:lineRule="auto"/>
              <w:rPr>
                <w:rFonts w:ascii="Times New Roman" w:hAnsi="Times New Roman" w:cs="Times New Roman"/>
                <w:bCs/>
                <w:sz w:val="24"/>
                <w:szCs w:val="24"/>
              </w:rPr>
            </w:pPr>
          </w:p>
        </w:tc>
        <w:tc>
          <w:tcPr>
            <w:tcW w:w="3194"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_______________________</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(дата)</w:t>
            </w:r>
          </w:p>
        </w:tc>
      </w:tr>
      <w:tr>
        <w:tblPrEx>
          <w:tblCellMar>
            <w:top w:w="102" w:type="dxa"/>
            <w:left w:w="62" w:type="dxa"/>
            <w:bottom w:w="102" w:type="dxa"/>
            <w:right w:w="62" w:type="dxa"/>
          </w:tblCellMar>
        </w:tblPrEx>
        <w:tc>
          <w:tcPr>
            <w:tcW w:w="2158" w:type="dxa"/>
          </w:tcPr>
          <w:p>
            <w:pPr>
              <w:autoSpaceDE w:val="0"/>
              <w:autoSpaceDN w:val="0"/>
              <w:adjustRightInd w:val="0"/>
              <w:spacing w:after="0" w:line="240" w:lineRule="auto"/>
              <w:ind w:firstLine="283"/>
              <w:jc w:val="both"/>
              <w:rPr>
                <w:rFonts w:ascii="Times New Roman" w:hAnsi="Times New Roman" w:cs="Times New Roman"/>
                <w:bCs/>
                <w:sz w:val="24"/>
                <w:szCs w:val="24"/>
              </w:rPr>
            </w:pPr>
            <w:r>
              <w:rPr>
                <w:rFonts w:ascii="Times New Roman" w:hAnsi="Times New Roman" w:cs="Times New Roman"/>
                <w:bCs/>
                <w:sz w:val="24"/>
                <w:szCs w:val="24"/>
              </w:rPr>
              <w:t>Во исполнение</w:t>
            </w:r>
          </w:p>
        </w:tc>
        <w:tc>
          <w:tcPr>
            <w:tcW w:w="6913" w:type="dxa"/>
            <w:gridSpan w:val="4"/>
          </w:tcPr>
          <w:p>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(реквизиты решения о назначении аудиторской проверки)</w:t>
            </w:r>
          </w:p>
        </w:tc>
      </w:tr>
      <w:tr>
        <w:tblPrEx>
          <w:tblCellMar>
            <w:top w:w="102" w:type="dxa"/>
            <w:left w:w="62" w:type="dxa"/>
            <w:bottom w:w="102" w:type="dxa"/>
            <w:right w:w="62" w:type="dxa"/>
          </w:tblCellMar>
        </w:tblPrEx>
        <w:tc>
          <w:tcPr>
            <w:tcW w:w="9071" w:type="dxa"/>
            <w:gridSpan w:val="5"/>
          </w:tcPr>
          <w:p>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Фамилия, инициалы, должность субъекта финансового аудита _________________________________________________________________________</w:t>
            </w:r>
          </w:p>
          <w:p>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проведена аудиторская проверка</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(тема аудиторской проверки)</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(проверяемый период)</w:t>
            </w:r>
          </w:p>
          <w:p>
            <w:pPr>
              <w:autoSpaceDE w:val="0"/>
              <w:autoSpaceDN w:val="0"/>
              <w:adjustRightInd w:val="0"/>
              <w:spacing w:after="0" w:line="240" w:lineRule="auto"/>
              <w:rPr>
                <w:rFonts w:ascii="Times New Roman" w:hAnsi="Times New Roman" w:cs="Times New Roman"/>
                <w:bCs/>
                <w:sz w:val="24"/>
                <w:szCs w:val="24"/>
              </w:rPr>
            </w:pPr>
          </w:p>
          <w:p>
            <w:pPr>
              <w:autoSpaceDE w:val="0"/>
              <w:autoSpaceDN w:val="0"/>
              <w:adjustRightInd w:val="0"/>
              <w:spacing w:after="0" w:line="240" w:lineRule="auto"/>
              <w:ind w:firstLine="283"/>
              <w:jc w:val="both"/>
              <w:rPr>
                <w:rFonts w:ascii="Times New Roman" w:hAnsi="Times New Roman" w:cs="Times New Roman"/>
                <w:bCs/>
                <w:sz w:val="24"/>
                <w:szCs w:val="24"/>
              </w:rPr>
            </w:pPr>
            <w:r>
              <w:rPr>
                <w:rFonts w:ascii="Times New Roman" w:hAnsi="Times New Roman" w:cs="Times New Roman"/>
                <w:bCs/>
                <w:sz w:val="24"/>
                <w:szCs w:val="24"/>
              </w:rPr>
              <w:t>В ходе проведения аудиторской проверки установлено следующее.</w:t>
            </w:r>
          </w:p>
          <w:p>
            <w:pPr>
              <w:autoSpaceDE w:val="0"/>
              <w:autoSpaceDN w:val="0"/>
              <w:adjustRightInd w:val="0"/>
              <w:spacing w:after="0" w:line="240" w:lineRule="auto"/>
              <w:ind w:firstLine="283"/>
              <w:jc w:val="both"/>
              <w:rPr>
                <w:rFonts w:ascii="Times New Roman" w:hAnsi="Times New Roman" w:cs="Times New Roman"/>
                <w:bCs/>
                <w:sz w:val="24"/>
                <w:szCs w:val="24"/>
              </w:rPr>
            </w:pPr>
            <w:r>
              <w:rPr>
                <w:rFonts w:ascii="Times New Roman" w:hAnsi="Times New Roman" w:cs="Times New Roman"/>
                <w:bCs/>
                <w:sz w:val="24"/>
                <w:szCs w:val="24"/>
              </w:rPr>
              <w:t>По вопросу N 1 _________________________________________________________</w:t>
            </w:r>
          </w:p>
          <w:p>
            <w:pPr>
              <w:autoSpaceDE w:val="0"/>
              <w:autoSpaceDN w:val="0"/>
              <w:adjustRightInd w:val="0"/>
              <w:spacing w:after="0" w:line="240" w:lineRule="auto"/>
              <w:ind w:firstLine="283"/>
              <w:jc w:val="both"/>
              <w:rPr>
                <w:rFonts w:ascii="Times New Roman" w:hAnsi="Times New Roman" w:cs="Times New Roman"/>
                <w:bCs/>
                <w:sz w:val="24"/>
                <w:szCs w:val="24"/>
              </w:rPr>
            </w:pPr>
            <w:r>
              <w:rPr>
                <w:rFonts w:ascii="Times New Roman" w:hAnsi="Times New Roman" w:cs="Times New Roman"/>
                <w:bCs/>
                <w:sz w:val="24"/>
                <w:szCs w:val="24"/>
              </w:rPr>
              <w:t>По вопросу N 2 _________________________________________________________</w:t>
            </w:r>
          </w:p>
          <w:p>
            <w:pPr>
              <w:autoSpaceDE w:val="0"/>
              <w:autoSpaceDN w:val="0"/>
              <w:adjustRightInd w:val="0"/>
              <w:spacing w:after="0" w:line="240" w:lineRule="auto"/>
              <w:rPr>
                <w:rFonts w:ascii="Times New Roman" w:hAnsi="Times New Roman" w:cs="Times New Roman"/>
                <w:bCs/>
                <w:sz w:val="24"/>
                <w:szCs w:val="24"/>
              </w:rPr>
            </w:pPr>
          </w:p>
          <w:p>
            <w:pPr>
              <w:autoSpaceDE w:val="0"/>
              <w:autoSpaceDN w:val="0"/>
              <w:adjustRightInd w:val="0"/>
              <w:spacing w:after="0" w:line="240" w:lineRule="auto"/>
              <w:ind w:firstLine="283"/>
              <w:jc w:val="both"/>
              <w:rPr>
                <w:rFonts w:ascii="Times New Roman" w:hAnsi="Times New Roman" w:cs="Times New Roman"/>
                <w:bCs/>
                <w:sz w:val="24"/>
                <w:szCs w:val="24"/>
              </w:rPr>
            </w:pPr>
            <w:r>
              <w:rPr>
                <w:rFonts w:ascii="Times New Roman" w:hAnsi="Times New Roman" w:cs="Times New Roman"/>
                <w:bCs/>
                <w:sz w:val="24"/>
                <w:szCs w:val="24"/>
              </w:rPr>
              <w:t>В результате проверки выявлены следующие недостатки и нарушения:</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w:t>
            </w:r>
          </w:p>
          <w:p>
            <w:pPr>
              <w:autoSpaceDE w:val="0"/>
              <w:autoSpaceDN w:val="0"/>
              <w:adjustRightInd w:val="0"/>
              <w:spacing w:after="0" w:line="240" w:lineRule="auto"/>
              <w:rPr>
                <w:rFonts w:ascii="Times New Roman" w:hAnsi="Times New Roman" w:cs="Times New Roman"/>
                <w:bCs/>
                <w:sz w:val="24"/>
                <w:szCs w:val="24"/>
              </w:rPr>
            </w:pPr>
          </w:p>
          <w:p>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Предложения и рекомендации:</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w:t>
            </w:r>
          </w:p>
          <w:p>
            <w:pPr>
              <w:autoSpaceDE w:val="0"/>
              <w:autoSpaceDN w:val="0"/>
              <w:adjustRightInd w:val="0"/>
              <w:spacing w:after="0" w:line="240" w:lineRule="auto"/>
              <w:rPr>
                <w:rFonts w:ascii="Times New Roman" w:hAnsi="Times New Roman" w:cs="Times New Roman"/>
                <w:bCs/>
                <w:sz w:val="24"/>
                <w:szCs w:val="24"/>
              </w:rPr>
            </w:pPr>
          </w:p>
          <w:p>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Ответственный исполнитель</w:t>
            </w:r>
          </w:p>
        </w:tc>
      </w:tr>
      <w:tr>
        <w:tblPrEx>
          <w:tblCellMar>
            <w:top w:w="102" w:type="dxa"/>
            <w:left w:w="62" w:type="dxa"/>
            <w:bottom w:w="102" w:type="dxa"/>
            <w:right w:w="62" w:type="dxa"/>
          </w:tblCellMar>
        </w:tblPrEx>
        <w:tc>
          <w:tcPr>
            <w:tcW w:w="2922" w:type="dxa"/>
            <w:gridSpan w:val="2"/>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(должность)</w:t>
            </w:r>
          </w:p>
        </w:tc>
        <w:tc>
          <w:tcPr>
            <w:tcW w:w="2955" w:type="dxa"/>
            <w:gridSpan w:val="2"/>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(подпись)</w:t>
            </w:r>
          </w:p>
        </w:tc>
        <w:tc>
          <w:tcPr>
            <w:tcW w:w="3194"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(Ф.И.О.)</w:t>
            </w:r>
          </w:p>
        </w:tc>
      </w:tr>
      <w:tr>
        <w:tblPrEx>
          <w:tblCellMar>
            <w:top w:w="102" w:type="dxa"/>
            <w:left w:w="62" w:type="dxa"/>
            <w:bottom w:w="102" w:type="dxa"/>
            <w:right w:w="62" w:type="dxa"/>
          </w:tblCellMar>
        </w:tblPrEx>
        <w:tc>
          <w:tcPr>
            <w:tcW w:w="9071" w:type="dxa"/>
            <w:gridSpan w:val="5"/>
          </w:tcPr>
          <w:p>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Копия заключения получена</w:t>
            </w:r>
          </w:p>
          <w:p>
            <w:pPr>
              <w:autoSpaceDE w:val="0"/>
              <w:autoSpaceDN w:val="0"/>
              <w:adjustRightInd w:val="0"/>
              <w:spacing w:after="0" w:line="240" w:lineRule="auto"/>
              <w:rPr>
                <w:rFonts w:ascii="Times New Roman" w:hAnsi="Times New Roman" w:cs="Times New Roman"/>
                <w:bCs/>
                <w:sz w:val="24"/>
                <w:szCs w:val="24"/>
              </w:rPr>
            </w:pPr>
          </w:p>
          <w:p>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Дата ___________________________________</w:t>
            </w:r>
          </w:p>
          <w:p>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Должность ______________________________</w:t>
            </w:r>
          </w:p>
          <w:p>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Подпись: _______________________________</w:t>
            </w:r>
          </w:p>
          <w:p>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Расшифровка подписи: ___________________</w:t>
            </w:r>
          </w:p>
          <w:p>
            <w:pPr>
              <w:autoSpaceDE w:val="0"/>
              <w:autoSpaceDN w:val="0"/>
              <w:adjustRightInd w:val="0"/>
              <w:spacing w:after="0" w:line="240" w:lineRule="auto"/>
              <w:rPr>
                <w:rFonts w:ascii="Times New Roman" w:hAnsi="Times New Roman" w:cs="Times New Roman"/>
                <w:bCs/>
                <w:sz w:val="24"/>
                <w:szCs w:val="24"/>
              </w:rPr>
            </w:pPr>
          </w:p>
          <w:p>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Срок ознакомления и предоставления возражений (в случае их наличия) установлен - 7 рабочих дней</w:t>
            </w:r>
          </w:p>
        </w:tc>
      </w:tr>
    </w:tbl>
    <w:p>
      <w:pPr>
        <w:pBdr>
          <w:top w:val="single" w:color="auto" w:sz="6" w:space="0"/>
        </w:pBdr>
        <w:autoSpaceDE w:val="0"/>
        <w:autoSpaceDN w:val="0"/>
        <w:adjustRightInd w:val="0"/>
        <w:spacing w:before="100" w:after="100" w:line="240" w:lineRule="auto"/>
        <w:jc w:val="both"/>
        <w:rPr>
          <w:rFonts w:ascii="Times New Roman" w:hAnsi="Times New Roman" w:cs="Times New Roman"/>
          <w:b/>
          <w:bCs/>
          <w:sz w:val="2"/>
          <w:szCs w:val="2"/>
        </w:rPr>
      </w:pPr>
    </w:p>
    <w:sectPr>
      <w:pgSz w:w="11906" w:h="16838"/>
      <w:pgMar w:top="1440" w:right="991" w:bottom="1440" w:left="113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Mangal">
    <w:altName w:val="Segoe Print"/>
    <w:panose1 w:val="02040503050203030202"/>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27BC6"/>
    <w:multiLevelType w:val="multilevel"/>
    <w:tmpl w:val="20627BC6"/>
    <w:lvl w:ilvl="0" w:tentative="0">
      <w:start w:val="1"/>
      <w:numFmt w:val="decimal"/>
      <w:lvlText w:val="%1."/>
      <w:lvlJc w:val="left"/>
      <w:pPr>
        <w:ind w:left="1684" w:hanging="975"/>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91"/>
  <w:hideSpellingErrors/>
  <w:hideGrammatical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E669F7"/>
    <w:rsid w:val="00013031"/>
    <w:rsid w:val="00044CA6"/>
    <w:rsid w:val="00045610"/>
    <w:rsid w:val="00082745"/>
    <w:rsid w:val="000A3FA1"/>
    <w:rsid w:val="000B75E1"/>
    <w:rsid w:val="000F6378"/>
    <w:rsid w:val="00155E88"/>
    <w:rsid w:val="0018691E"/>
    <w:rsid w:val="001F1D41"/>
    <w:rsid w:val="001F70F6"/>
    <w:rsid w:val="00260FAB"/>
    <w:rsid w:val="002915C7"/>
    <w:rsid w:val="00293687"/>
    <w:rsid w:val="002A6E01"/>
    <w:rsid w:val="002C11A9"/>
    <w:rsid w:val="00307A34"/>
    <w:rsid w:val="003535DA"/>
    <w:rsid w:val="003E1AFC"/>
    <w:rsid w:val="0046738A"/>
    <w:rsid w:val="00491319"/>
    <w:rsid w:val="00563595"/>
    <w:rsid w:val="00565787"/>
    <w:rsid w:val="005E22C2"/>
    <w:rsid w:val="005E5225"/>
    <w:rsid w:val="006243E3"/>
    <w:rsid w:val="00642796"/>
    <w:rsid w:val="00652C39"/>
    <w:rsid w:val="00690ED4"/>
    <w:rsid w:val="00690FC6"/>
    <w:rsid w:val="00715F36"/>
    <w:rsid w:val="00725C52"/>
    <w:rsid w:val="00735BB6"/>
    <w:rsid w:val="0074087D"/>
    <w:rsid w:val="00751A51"/>
    <w:rsid w:val="00765CA2"/>
    <w:rsid w:val="007770DE"/>
    <w:rsid w:val="007B0D87"/>
    <w:rsid w:val="007E5E1B"/>
    <w:rsid w:val="008D253D"/>
    <w:rsid w:val="008F3BB0"/>
    <w:rsid w:val="0097712B"/>
    <w:rsid w:val="00983FC3"/>
    <w:rsid w:val="00A441B9"/>
    <w:rsid w:val="00A52FF9"/>
    <w:rsid w:val="00A76031"/>
    <w:rsid w:val="00AA23CE"/>
    <w:rsid w:val="00AC0209"/>
    <w:rsid w:val="00AD2013"/>
    <w:rsid w:val="00B2752A"/>
    <w:rsid w:val="00B733EC"/>
    <w:rsid w:val="00BA3749"/>
    <w:rsid w:val="00BB567A"/>
    <w:rsid w:val="00BC49DA"/>
    <w:rsid w:val="00C10F13"/>
    <w:rsid w:val="00C74EB3"/>
    <w:rsid w:val="00CB0FA5"/>
    <w:rsid w:val="00CB7F3C"/>
    <w:rsid w:val="00D36597"/>
    <w:rsid w:val="00D67DF4"/>
    <w:rsid w:val="00D81CAB"/>
    <w:rsid w:val="00DF19EA"/>
    <w:rsid w:val="00DF711C"/>
    <w:rsid w:val="00E669F7"/>
    <w:rsid w:val="00EE1793"/>
    <w:rsid w:val="00EE7E12"/>
    <w:rsid w:val="00F96FFD"/>
    <w:rsid w:val="00FA5A51"/>
    <w:rsid w:val="00FB420D"/>
    <w:rsid w:val="00FB42CA"/>
    <w:rsid w:val="00FD36D4"/>
    <w:rsid w:val="00FF05AF"/>
    <w:rsid w:val="669D23D8"/>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Tahoma" w:hAnsi="Tahoma" w:cs="Tahoma"/>
      <w:sz w:val="16"/>
      <w:szCs w:val="16"/>
    </w:rPr>
  </w:style>
  <w:style w:type="paragraph" w:styleId="5">
    <w:name w:val="Body Text Indent"/>
    <w:basedOn w:val="1"/>
    <w:link w:val="13"/>
    <w:uiPriority w:val="0"/>
    <w:pPr>
      <w:spacing w:after="120" w:line="240" w:lineRule="auto"/>
      <w:ind w:left="283"/>
    </w:pPr>
    <w:rPr>
      <w:lang w:eastAsia="ru-RU"/>
    </w:rPr>
  </w:style>
  <w:style w:type="character" w:customStyle="1" w:styleId="6">
    <w:name w:val="Текст выноски Знак"/>
    <w:basedOn w:val="2"/>
    <w:link w:val="4"/>
    <w:semiHidden/>
    <w:uiPriority w:val="99"/>
    <w:rPr>
      <w:rFonts w:ascii="Tahoma" w:hAnsi="Tahoma" w:cs="Tahoma"/>
      <w:sz w:val="16"/>
      <w:szCs w:val="16"/>
    </w:rPr>
  </w:style>
  <w:style w:type="paragraph" w:customStyle="1" w:styleId="7">
    <w:name w:val="Содержимое таблицы"/>
    <w:basedOn w:val="1"/>
    <w:uiPriority w:val="0"/>
    <w:pPr>
      <w:suppressLineNumbers/>
      <w:spacing w:after="0" w:line="240" w:lineRule="auto"/>
    </w:pPr>
    <w:rPr>
      <w:rFonts w:ascii="Times New Roman" w:hAnsi="Times New Roman" w:eastAsia="Times New Roman" w:cs="Times New Roman"/>
      <w:sz w:val="28"/>
      <w:szCs w:val="20"/>
      <w:lang w:eastAsia="ar-SA"/>
    </w:rPr>
  </w:style>
  <w:style w:type="paragraph" w:customStyle="1" w:styleId="8">
    <w:name w:val="ConsPlusNormal"/>
    <w:uiPriority w:val="0"/>
    <w:pPr>
      <w:widowControl w:val="0"/>
      <w:suppressAutoHyphens/>
      <w:spacing w:after="0" w:line="100" w:lineRule="atLeast"/>
    </w:pPr>
    <w:rPr>
      <w:rFonts w:ascii="Times New Roman" w:hAnsi="Times New Roman" w:eastAsia="Lucida Sans Unicode" w:cs="Mangal"/>
      <w:kern w:val="1"/>
      <w:sz w:val="24"/>
      <w:szCs w:val="24"/>
      <w:lang w:val="ru-RU" w:eastAsia="hi-IN" w:bidi="hi-IN"/>
    </w:rPr>
  </w:style>
  <w:style w:type="paragraph" w:customStyle="1" w:styleId="9">
    <w:name w:val="Первая строка заголовка"/>
    <w:basedOn w:val="1"/>
    <w:uiPriority w:val="0"/>
    <w:pPr>
      <w:keepNext/>
      <w:keepLines/>
      <w:spacing w:before="960" w:after="120" w:line="240" w:lineRule="auto"/>
      <w:jc w:val="center"/>
    </w:pPr>
    <w:rPr>
      <w:rFonts w:ascii="Times New Roman" w:hAnsi="Times New Roman" w:eastAsia="Times New Roman" w:cs="Times New Roman"/>
      <w:b/>
      <w:sz w:val="32"/>
      <w:szCs w:val="20"/>
      <w:lang w:eastAsia="ar-SA"/>
    </w:rPr>
  </w:style>
  <w:style w:type="paragraph" w:customStyle="1" w:styleId="10">
    <w:name w:val="ConsPlusTitle"/>
    <w:uiPriority w:val="0"/>
    <w:pPr>
      <w:autoSpaceDE w:val="0"/>
      <w:autoSpaceDN w:val="0"/>
      <w:adjustRightInd w:val="0"/>
      <w:spacing w:after="0" w:line="240" w:lineRule="auto"/>
    </w:pPr>
    <w:rPr>
      <w:rFonts w:ascii="Arial" w:hAnsi="Arial" w:eastAsia="Times New Roman" w:cs="Arial"/>
      <w:b/>
      <w:bCs/>
      <w:sz w:val="20"/>
      <w:szCs w:val="20"/>
      <w:lang w:val="ru-RU" w:eastAsia="ru-RU" w:bidi="ar-SA"/>
    </w:rPr>
  </w:style>
  <w:style w:type="paragraph" w:styleId="11">
    <w:name w:val="List Paragraph"/>
    <w:basedOn w:val="1"/>
    <w:qFormat/>
    <w:uiPriority w:val="34"/>
    <w:pPr>
      <w:ind w:left="720"/>
      <w:contextualSpacing/>
    </w:pPr>
  </w:style>
  <w:style w:type="character" w:customStyle="1" w:styleId="12">
    <w:name w:val="Основной текст с отступом Знак"/>
    <w:basedOn w:val="2"/>
    <w:link w:val="5"/>
    <w:locked/>
    <w:uiPriority w:val="0"/>
    <w:rPr>
      <w:lang w:eastAsia="ru-RU"/>
    </w:rPr>
  </w:style>
  <w:style w:type="character" w:customStyle="1" w:styleId="13">
    <w:name w:val="Основной текст с отступом Знак1"/>
    <w:basedOn w:val="2"/>
    <w:link w:val="5"/>
    <w:semiHidden/>
    <w:uiPriority w:val="99"/>
  </w:style>
  <w:style w:type="paragraph" w:styleId="14">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D3E19-07F9-4E01-A030-2D80FB6AD95A}">
  <ds:schemaRefs/>
</ds:datastoreItem>
</file>

<file path=docProps/app.xml><?xml version="1.0" encoding="utf-8"?>
<Properties xmlns="http://schemas.openxmlformats.org/officeDocument/2006/extended-properties" xmlns:vt="http://schemas.openxmlformats.org/officeDocument/2006/docPropsVTypes">
  <Template>Normal</Template>
  <Pages>23</Pages>
  <Words>6073</Words>
  <Characters>34622</Characters>
  <Lines>288</Lines>
  <Paragraphs>81</Paragraphs>
  <TotalTime>9</TotalTime>
  <ScaleCrop>false</ScaleCrop>
  <LinksUpToDate>false</LinksUpToDate>
  <CharactersWithSpaces>40614</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2022-04-28T11:29:00Z</dcterms:created>
  <dc:creator>User</dc:creator>
  <cp:lastModifiedBy>Сергей</cp:lastModifiedBy>
  <cp:lastPrinted>2021-01-20T08:39:00Z</cp:lastPrinted>
  <dcterms:modified xsi:type="dcterms:W3CDTF">2022-05-17T06:16:01Z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227ED8AAF5534EA1A31DD81DC929A3A1</vt:lpwstr>
  </property>
</Properties>
</file>