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EB170A">
        <w:trPr>
          <w:trHeight w:hRule="exact" w:val="2377"/>
          <w:jc w:val="center"/>
        </w:trPr>
        <w:tc>
          <w:tcPr>
            <w:tcW w:w="9228" w:type="dxa"/>
            <w:gridSpan w:val="4"/>
            <w:shd w:val="clear" w:color="auto" w:fill="auto"/>
          </w:tcPr>
          <w:p w:rsidR="00EB170A" w:rsidRDefault="00C34969">
            <w:pPr>
              <w:pStyle w:val="Iioaioo"/>
              <w:keepLines w:val="0"/>
              <w:widowControl w:val="0"/>
              <w:tabs>
                <w:tab w:val="left" w:pos="2977"/>
              </w:tabs>
              <w:spacing w:before="0" w:after="0"/>
              <w:rPr>
                <w:szCs w:val="28"/>
              </w:rPr>
            </w:pPr>
            <w:r>
              <w:rPr>
                <w:szCs w:val="28"/>
              </w:rPr>
              <w:t xml:space="preserve">АДМИНИСТРАЦИЯ </w:t>
            </w:r>
          </w:p>
          <w:p w:rsidR="00EB170A" w:rsidRDefault="00C34969">
            <w:pPr>
              <w:pStyle w:val="Iioaioo"/>
              <w:keepLines w:val="0"/>
              <w:widowControl w:val="0"/>
              <w:tabs>
                <w:tab w:val="left" w:pos="2977"/>
              </w:tabs>
              <w:spacing w:before="0" w:after="0"/>
              <w:rPr>
                <w:szCs w:val="28"/>
              </w:rPr>
            </w:pPr>
            <w:r>
              <w:rPr>
                <w:szCs w:val="28"/>
              </w:rPr>
              <w:t>МУРАШИНСКОГО МУНИЦИПАЛЬНОГО ОКРУГА</w:t>
            </w:r>
          </w:p>
          <w:p w:rsidR="00EB170A" w:rsidRDefault="00C34969">
            <w:pPr>
              <w:pStyle w:val="Iioaioo"/>
              <w:keepLines w:val="0"/>
              <w:widowControl w:val="0"/>
              <w:tabs>
                <w:tab w:val="left" w:pos="2977"/>
              </w:tabs>
              <w:spacing w:before="0" w:after="480"/>
              <w:rPr>
                <w:szCs w:val="28"/>
              </w:rPr>
            </w:pPr>
            <w:r>
              <w:rPr>
                <w:szCs w:val="28"/>
              </w:rPr>
              <w:t>КИРОВСКОЙ ОБЛАСТИ</w:t>
            </w:r>
          </w:p>
          <w:p w:rsidR="00EB170A" w:rsidRDefault="00C34969">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EB170A" w:rsidRDefault="00EB170A">
            <w:pPr>
              <w:pStyle w:val="aff0"/>
              <w:widowControl w:val="0"/>
              <w:spacing w:before="0" w:after="480"/>
              <w:rPr>
                <w:szCs w:val="32"/>
              </w:rPr>
            </w:pPr>
          </w:p>
          <w:p w:rsidR="00EB170A" w:rsidRDefault="00EB170A">
            <w:pPr>
              <w:pStyle w:val="aff0"/>
              <w:widowControl w:val="0"/>
              <w:spacing w:before="0" w:after="480"/>
              <w:rPr>
                <w:szCs w:val="32"/>
              </w:rPr>
            </w:pPr>
          </w:p>
          <w:p w:rsidR="00EB170A" w:rsidRDefault="00C34969">
            <w:pPr>
              <w:widowControl w:val="0"/>
              <w:tabs>
                <w:tab w:val="left" w:pos="2160"/>
              </w:tabs>
            </w:pPr>
            <w:r>
              <w:tab/>
            </w:r>
          </w:p>
        </w:tc>
      </w:tr>
      <w:tr w:rsidR="00EB170A">
        <w:trPr>
          <w:jc w:val="center"/>
        </w:trPr>
        <w:tc>
          <w:tcPr>
            <w:tcW w:w="2133" w:type="dxa"/>
            <w:tcBorders>
              <w:bottom w:val="single" w:sz="4" w:space="0" w:color="000000"/>
            </w:tcBorders>
            <w:shd w:val="clear" w:color="auto" w:fill="auto"/>
          </w:tcPr>
          <w:p w:rsidR="00EB170A" w:rsidRDefault="0052498F" w:rsidP="0052498F">
            <w:pPr>
              <w:widowControl w:val="0"/>
              <w:snapToGrid w:val="0"/>
              <w:jc w:val="center"/>
            </w:pPr>
            <w:r>
              <w:t>07.03.2024</w:t>
            </w:r>
          </w:p>
        </w:tc>
        <w:tc>
          <w:tcPr>
            <w:tcW w:w="2711" w:type="dxa"/>
            <w:shd w:val="clear" w:color="auto" w:fill="auto"/>
          </w:tcPr>
          <w:p w:rsidR="00EB170A" w:rsidRDefault="00EB170A">
            <w:pPr>
              <w:widowControl w:val="0"/>
              <w:snapToGrid w:val="0"/>
              <w:jc w:val="center"/>
              <w:rPr>
                <w:szCs w:val="28"/>
              </w:rPr>
            </w:pPr>
          </w:p>
        </w:tc>
        <w:tc>
          <w:tcPr>
            <w:tcW w:w="2348" w:type="dxa"/>
            <w:shd w:val="clear" w:color="auto" w:fill="auto"/>
          </w:tcPr>
          <w:p w:rsidR="00EB170A" w:rsidRDefault="00C34969">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EB170A" w:rsidRPr="0052498F" w:rsidRDefault="0052498F">
            <w:pPr>
              <w:widowControl w:val="0"/>
              <w:snapToGrid w:val="0"/>
              <w:rPr>
                <w:szCs w:val="28"/>
              </w:rPr>
            </w:pPr>
            <w:r w:rsidRPr="0052498F">
              <w:rPr>
                <w:szCs w:val="28"/>
              </w:rPr>
              <w:t>202</w:t>
            </w:r>
          </w:p>
        </w:tc>
      </w:tr>
      <w:tr w:rsidR="00EB170A">
        <w:trPr>
          <w:jc w:val="center"/>
        </w:trPr>
        <w:tc>
          <w:tcPr>
            <w:tcW w:w="9228" w:type="dxa"/>
            <w:gridSpan w:val="4"/>
            <w:shd w:val="clear" w:color="auto" w:fill="auto"/>
          </w:tcPr>
          <w:p w:rsidR="00EB170A" w:rsidRDefault="00C34969">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tc>
      </w:tr>
    </w:tbl>
    <w:p w:rsidR="00EB170A" w:rsidRDefault="001E7901" w:rsidP="00256798">
      <w:pPr>
        <w:spacing w:before="480" w:after="480"/>
        <w:ind w:firstLine="539"/>
        <w:jc w:val="center"/>
        <w:rPr>
          <w:b/>
        </w:rPr>
      </w:pPr>
      <w:proofErr w:type="gramStart"/>
      <w:r>
        <w:rPr>
          <w:b/>
        </w:rPr>
        <w:t xml:space="preserve">О внесении изменений в </w:t>
      </w:r>
      <w:r w:rsidR="00F46FB1" w:rsidRPr="00F46FB1">
        <w:rPr>
          <w:b/>
        </w:rPr>
        <w:t>Положение о комиссии по соблюдению требований к служебному пов</w:t>
      </w:r>
      <w:r w:rsidR="00F46FB1">
        <w:rPr>
          <w:b/>
        </w:rPr>
        <w:t>едению</w:t>
      </w:r>
      <w:proofErr w:type="gramEnd"/>
      <w:r w:rsidR="00F46FB1">
        <w:rPr>
          <w:b/>
        </w:rPr>
        <w:t xml:space="preserve"> муниципальных служащих и </w:t>
      </w:r>
      <w:r w:rsidR="00F46FB1" w:rsidRPr="00F46FB1">
        <w:rPr>
          <w:b/>
        </w:rPr>
        <w:t>урегулированию конфликта интересов</w:t>
      </w:r>
    </w:p>
    <w:p w:rsidR="00256798" w:rsidRDefault="00DD7264" w:rsidP="00256798">
      <w:pPr>
        <w:spacing w:line="360" w:lineRule="auto"/>
        <w:ind w:firstLine="709"/>
        <w:jc w:val="both"/>
      </w:pPr>
      <w:r>
        <w:t xml:space="preserve">В соответствии с Указом Президента Российской Федерации от 01.07.2010 № 821 (ред. от 25.01.2024) «О комиссиях по соблюдению требований к служебному поведению федеральных государственных служащих и урегулированию конфликта интересов», пунктом 46 части 1 статьи 37 Устава муниципального образования Мурашинский муниципальный округ Кировской области </w:t>
      </w:r>
      <w:r w:rsidR="00256798">
        <w:t>администрация Мурашинского муниципального округа ПОСТАНОВЛЯЕТ:</w:t>
      </w:r>
    </w:p>
    <w:p w:rsidR="00F530A8" w:rsidRPr="00F530A8" w:rsidRDefault="00256798" w:rsidP="00F530A8">
      <w:pPr>
        <w:spacing w:line="360" w:lineRule="auto"/>
        <w:ind w:firstLine="709"/>
        <w:jc w:val="both"/>
      </w:pPr>
      <w:r>
        <w:t xml:space="preserve">1. </w:t>
      </w:r>
      <w:r w:rsidR="00F530A8" w:rsidRPr="00F530A8">
        <w:t>Внести в Положение о комиссии по соблюдению требований к служебному поведению муниципальных служащих и урегулированию конфликта интересов (далее – Положение), утвержденное постановлением администрации Мурашинского муниципального округа от 10.03.2022 № 167</w:t>
      </w:r>
      <w:r w:rsidR="00F530A8">
        <w:t xml:space="preserve"> (с изменениями, внесенными постановлением от 11.05.2022 № 335)</w:t>
      </w:r>
      <w:r w:rsidR="00F530A8" w:rsidRPr="00F530A8">
        <w:t>, следующие изменения:</w:t>
      </w:r>
    </w:p>
    <w:p w:rsidR="00F530A8" w:rsidRDefault="00F530A8" w:rsidP="001E7901">
      <w:pPr>
        <w:spacing w:line="360" w:lineRule="auto"/>
        <w:ind w:firstLine="709"/>
        <w:jc w:val="both"/>
      </w:pPr>
      <w:r>
        <w:t xml:space="preserve">1.1. </w:t>
      </w:r>
      <w:r w:rsidR="00DD7264">
        <w:t>Подпункт 1.3.1 пункта 1.3 Положения изложить в новой редакции следующего содержания:</w:t>
      </w:r>
    </w:p>
    <w:p w:rsidR="00DD7264" w:rsidRDefault="00FE0FDC" w:rsidP="00DD7264">
      <w:pPr>
        <w:spacing w:line="360" w:lineRule="auto"/>
        <w:ind w:firstLine="709"/>
        <w:jc w:val="both"/>
      </w:pPr>
      <w:r>
        <w:t>«1.3.1.</w:t>
      </w:r>
      <w:r w:rsidR="00DD7264">
        <w:t xml:space="preserve"> </w:t>
      </w:r>
      <w:proofErr w:type="gramStart"/>
      <w:r>
        <w:t>В</w:t>
      </w:r>
      <w:r w:rsidR="00DD7264" w:rsidRPr="00DD7264">
        <w:t xml:space="preserve"> обеспечении соблюдения </w:t>
      </w:r>
      <w:r w:rsidR="00DD7264">
        <w:t>муниципальными</w:t>
      </w:r>
      <w:r w:rsidR="00DD7264" w:rsidRPr="00DD7264">
        <w:t xml:space="preserve"> служащими администрации муниципального округа</w:t>
      </w:r>
      <w:r w:rsidR="00DD7264">
        <w:t xml:space="preserve"> </w:t>
      </w:r>
      <w:r w:rsidR="00DD7264" w:rsidRPr="00DD7264">
        <w:t>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w:t>
      </w:r>
      <w:r w:rsidR="00DD7264">
        <w:t xml:space="preserve"> 25.12.2008 №</w:t>
      </w:r>
      <w:r w:rsidR="00DD7264" w:rsidRPr="00DD7264">
        <w:t xml:space="preserve"> 273-ФЗ </w:t>
      </w:r>
      <w:r w:rsidR="00DD7264">
        <w:t>«</w:t>
      </w:r>
      <w:r w:rsidR="00DD7264" w:rsidRPr="00DD7264">
        <w:t>О противодействии коррупции</w:t>
      </w:r>
      <w:r w:rsidR="00DD7264">
        <w:t>»</w:t>
      </w:r>
      <w:r w:rsidRPr="00FE0FDC">
        <w:t xml:space="preserve"> (далее - Федеральный закон от 25.12.2008 N </w:t>
      </w:r>
      <w:r w:rsidRPr="00FE0FDC">
        <w:lastRenderedPageBreak/>
        <w:t>273-ФЗ)</w:t>
      </w:r>
      <w:r w:rsidR="00DD7264" w:rsidRPr="00DD7264">
        <w:t>, другими федеральными законами в целях противодействия коррупции (далее - треб</w:t>
      </w:r>
      <w:r w:rsidR="00FE5C6C">
        <w:t>ования к служебному поведению и </w:t>
      </w:r>
      <w:r w:rsidR="00DD7264" w:rsidRPr="00DD7264">
        <w:t>(или) требования об урегулировании конфликта интересов)</w:t>
      </w:r>
      <w:r>
        <w:t>.</w:t>
      </w:r>
      <w:r w:rsidR="00DD7264">
        <w:t>».</w:t>
      </w:r>
      <w:proofErr w:type="gramEnd"/>
    </w:p>
    <w:p w:rsidR="00DD7264" w:rsidRDefault="00DD7264" w:rsidP="00DD7264">
      <w:pPr>
        <w:spacing w:line="360" w:lineRule="auto"/>
        <w:ind w:firstLine="709"/>
        <w:jc w:val="both"/>
      </w:pPr>
      <w:r>
        <w:t xml:space="preserve">1.2. </w:t>
      </w:r>
      <w:r w:rsidR="00FE5C6C">
        <w:t>Пункт 3.1 Положения дополнить подпунктом 3.1.6 следующего содержания:</w:t>
      </w:r>
    </w:p>
    <w:p w:rsidR="00DD7264" w:rsidRDefault="00FE5C6C" w:rsidP="001E7901">
      <w:pPr>
        <w:spacing w:line="360" w:lineRule="auto"/>
        <w:ind w:firstLine="709"/>
        <w:jc w:val="both"/>
      </w:pPr>
      <w:r>
        <w:t>«3.1.6. У</w:t>
      </w:r>
      <w:r w:rsidRPr="00FE5C6C">
        <w:t xml:space="preserve">ведомление </w:t>
      </w:r>
      <w:r>
        <w:t>муниципального служащего о возникновении не </w:t>
      </w:r>
      <w:r w:rsidRPr="00FE5C6C">
        <w:t>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FE5C6C">
        <w:t>.</w:t>
      </w:r>
      <w:r>
        <w:t>».</w:t>
      </w:r>
      <w:proofErr w:type="gramEnd"/>
    </w:p>
    <w:p w:rsidR="00FE5C6C" w:rsidRDefault="00FE5C6C" w:rsidP="001E7901">
      <w:pPr>
        <w:spacing w:line="360" w:lineRule="auto"/>
        <w:ind w:firstLine="709"/>
        <w:jc w:val="both"/>
      </w:pPr>
      <w:r>
        <w:t>1.3. Пункт 3.7 Положения изложить в новой редакции следующего содержания:</w:t>
      </w:r>
    </w:p>
    <w:p w:rsidR="00325E1A" w:rsidRDefault="00FE5C6C" w:rsidP="001E7901">
      <w:pPr>
        <w:spacing w:line="360" w:lineRule="auto"/>
        <w:ind w:firstLine="709"/>
        <w:jc w:val="both"/>
      </w:pPr>
      <w:r>
        <w:t xml:space="preserve">«3.7. </w:t>
      </w:r>
      <w:r w:rsidRPr="00FE5C6C">
        <w:t>Уведомлени</w:t>
      </w:r>
      <w:r>
        <w:t>я</w:t>
      </w:r>
      <w:r w:rsidRPr="00FE5C6C">
        <w:t>, указан</w:t>
      </w:r>
      <w:r>
        <w:t>ные</w:t>
      </w:r>
      <w:r w:rsidRPr="00FE5C6C">
        <w:t xml:space="preserve"> в абзаце четвертом подпункта 3.1.2 </w:t>
      </w:r>
      <w:r w:rsidR="00F82AA7">
        <w:t>и </w:t>
      </w:r>
      <w:r w:rsidR="00F508CA">
        <w:t>подпункте 3.1.6</w:t>
      </w:r>
      <w:r w:rsidRPr="00FE5C6C">
        <w:t xml:space="preserve"> </w:t>
      </w:r>
      <w:r w:rsidR="00F82AA7">
        <w:t xml:space="preserve">пункта 3.1 </w:t>
      </w:r>
      <w:r w:rsidRPr="00FE5C6C">
        <w:t xml:space="preserve">настоящего Положения, </w:t>
      </w:r>
      <w:r w:rsidR="00325E1A" w:rsidRPr="00325E1A">
        <w:t>рассматриваются кадровой служб</w:t>
      </w:r>
      <w:r w:rsidR="00325E1A">
        <w:t xml:space="preserve">ой, которая </w:t>
      </w:r>
      <w:r w:rsidR="00325E1A" w:rsidRPr="00325E1A">
        <w:t>осуществляет подготовку мотивированных заключений по результатам рассмотрения уведомлений</w:t>
      </w:r>
      <w:proofErr w:type="gramStart"/>
      <w:r w:rsidR="00325E1A" w:rsidRPr="00325E1A">
        <w:t>.</w:t>
      </w:r>
      <w:r w:rsidR="00325E1A">
        <w:t>».</w:t>
      </w:r>
      <w:proofErr w:type="gramEnd"/>
    </w:p>
    <w:p w:rsidR="00325E1A" w:rsidRDefault="00325E1A" w:rsidP="001E7901">
      <w:pPr>
        <w:spacing w:line="360" w:lineRule="auto"/>
        <w:ind w:firstLine="709"/>
        <w:jc w:val="both"/>
      </w:pPr>
      <w:r>
        <w:t xml:space="preserve">1.4. </w:t>
      </w:r>
      <w:r w:rsidR="00F507DA">
        <w:t>В пункте 3.8 Положения слова «</w:t>
      </w:r>
      <w:r w:rsidR="00F507DA" w:rsidRPr="00F507DA">
        <w:t>в абзаце четвертом подпункта 3.1.2 пункта 3.1 настоящего Положения</w:t>
      </w:r>
      <w:r w:rsidR="00F507DA">
        <w:t>» заменить словами «</w:t>
      </w:r>
      <w:r w:rsidR="00F507DA" w:rsidRPr="00F507DA">
        <w:t>в абзаце четве</w:t>
      </w:r>
      <w:r w:rsidR="00B62820">
        <w:t>ртом подпункта 3.1.2 и подпункте 3.1.</w:t>
      </w:r>
      <w:r w:rsidR="00F508CA">
        <w:t>6</w:t>
      </w:r>
      <w:r w:rsidR="00B62820">
        <w:t xml:space="preserve"> пункта 3.1 </w:t>
      </w:r>
      <w:r w:rsidR="00F507DA" w:rsidRPr="00F507DA">
        <w:t>настоящего Положения</w:t>
      </w:r>
      <w:r w:rsidR="00B62820">
        <w:t>».</w:t>
      </w:r>
    </w:p>
    <w:p w:rsidR="00B62820" w:rsidRDefault="00B62820" w:rsidP="001E7901">
      <w:pPr>
        <w:spacing w:line="360" w:lineRule="auto"/>
        <w:ind w:firstLine="709"/>
        <w:jc w:val="both"/>
      </w:pPr>
      <w:r>
        <w:t xml:space="preserve">1.5. </w:t>
      </w:r>
      <w:r w:rsidR="00F508CA">
        <w:t>Пункт 3.9 Положения изложить в новой редакции следующего содержания:</w:t>
      </w:r>
    </w:p>
    <w:p w:rsidR="00F508CA" w:rsidRDefault="00F508CA" w:rsidP="00F508CA">
      <w:pPr>
        <w:spacing w:line="360" w:lineRule="auto"/>
        <w:ind w:firstLine="709"/>
        <w:jc w:val="both"/>
      </w:pPr>
      <w:r>
        <w:t>«3.9. Мотивированные заключения, предусмотренные пунктами 3.4, 3.6 и 3.7 настоящего Положения, должны содержать:</w:t>
      </w:r>
    </w:p>
    <w:p w:rsidR="00F508CA" w:rsidRDefault="00F508CA" w:rsidP="00E5263C">
      <w:pPr>
        <w:spacing w:line="360" w:lineRule="auto"/>
        <w:ind w:firstLine="709"/>
        <w:jc w:val="both"/>
      </w:pPr>
      <w:r>
        <w:t xml:space="preserve">а) информацию, изложенную в обращениях или уведомлениях, указанных </w:t>
      </w:r>
      <w:r w:rsidR="00E5263C">
        <w:t xml:space="preserve">в </w:t>
      </w:r>
      <w:r>
        <w:t xml:space="preserve">абзацах втором и четвертом подпункта 3.1.2 и подпунктах 3.1.5 и 3.1.6 </w:t>
      </w:r>
      <w:r w:rsidR="00F82AA7">
        <w:t xml:space="preserve">пункта 3.1 </w:t>
      </w:r>
      <w:r>
        <w:t>настоящего Положения;</w:t>
      </w:r>
    </w:p>
    <w:p w:rsidR="00E5263C" w:rsidRDefault="00E5263C" w:rsidP="00E5263C">
      <w:pPr>
        <w:spacing w:line="360" w:lineRule="auto"/>
        <w:ind w:firstLine="709"/>
        <w:jc w:val="both"/>
      </w:pPr>
      <w:r>
        <w:t>б) информацию, полученную от государственных органов, органов местного самоуправления и заинтересованных организаций на основании запросов;</w:t>
      </w:r>
    </w:p>
    <w:p w:rsidR="00E5263C" w:rsidRDefault="00E5263C" w:rsidP="00E5263C">
      <w:pPr>
        <w:spacing w:line="360" w:lineRule="auto"/>
        <w:ind w:firstLine="709"/>
        <w:jc w:val="both"/>
      </w:pPr>
      <w:r>
        <w:t xml:space="preserve">в) мотивированный вывод по результатам предварительного рассмотрения обращений и уведомлений, указанных в </w:t>
      </w:r>
      <w:r w:rsidR="00CE5487">
        <w:t>абзацах втором и </w:t>
      </w:r>
      <w:r>
        <w:t>четвертом подпункта 3.1.2 и подпунктах 3.1.5 и 3.1.6</w:t>
      </w:r>
      <w:r w:rsidR="00F82AA7">
        <w:t xml:space="preserve"> пункта 3.1</w:t>
      </w:r>
      <w:r>
        <w:t xml:space="preserve"> настоящего </w:t>
      </w:r>
      <w:r>
        <w:lastRenderedPageBreak/>
        <w:t>Положения, а также рекомендации для принятия одного из решений в</w:t>
      </w:r>
      <w:r w:rsidR="00CE5487">
        <w:t> </w:t>
      </w:r>
      <w:r>
        <w:t>соответствии с</w:t>
      </w:r>
      <w:r w:rsidR="00CE5487">
        <w:t> </w:t>
      </w:r>
      <w:r>
        <w:t xml:space="preserve">пунктами </w:t>
      </w:r>
      <w:r w:rsidR="00CE5487" w:rsidRPr="00CE5487">
        <w:t>3.19, 3.22</w:t>
      </w:r>
      <w:r w:rsidR="00CE5487">
        <w:t>, 3.22(1)</w:t>
      </w:r>
      <w:r w:rsidR="00CE5487" w:rsidRPr="00CE5487">
        <w:t>, 3.24 настоящего Положения или иного решения</w:t>
      </w:r>
      <w:proofErr w:type="gramStart"/>
      <w:r w:rsidR="00CE5487" w:rsidRPr="00CE5487">
        <w:t>.</w:t>
      </w:r>
      <w:r w:rsidR="00CE5487">
        <w:t>».</w:t>
      </w:r>
      <w:proofErr w:type="gramEnd"/>
    </w:p>
    <w:p w:rsidR="00E5263C" w:rsidRDefault="00CE5487" w:rsidP="00E5263C">
      <w:pPr>
        <w:spacing w:line="360" w:lineRule="auto"/>
        <w:ind w:firstLine="709"/>
        <w:jc w:val="both"/>
      </w:pPr>
      <w:r>
        <w:t>1.6. Пункт 3.12 Положения изложить в новой редакции следующего содержания:</w:t>
      </w:r>
    </w:p>
    <w:p w:rsidR="00CE5487" w:rsidRDefault="00CE5487" w:rsidP="00F508CA">
      <w:pPr>
        <w:spacing w:line="360" w:lineRule="auto"/>
        <w:ind w:firstLine="709"/>
        <w:jc w:val="both"/>
      </w:pPr>
      <w:r>
        <w:t xml:space="preserve">«3.12. </w:t>
      </w:r>
      <w:r w:rsidRPr="00CE5487">
        <w:t xml:space="preserve">Уведомления, указанные в </w:t>
      </w:r>
      <w:r>
        <w:t xml:space="preserve">подпунктах 3.1.5 и 3.1.6 </w:t>
      </w:r>
      <w:r w:rsidR="00F82AA7">
        <w:t xml:space="preserve">пункта 3.1 </w:t>
      </w:r>
      <w:r w:rsidRPr="00CE5487">
        <w:t>настоящего Положения, как правило, рассматриваются на очередном (плановом) заседании комиссии</w:t>
      </w:r>
      <w:proofErr w:type="gramStart"/>
      <w:r>
        <w:t>.».</w:t>
      </w:r>
      <w:proofErr w:type="gramEnd"/>
    </w:p>
    <w:p w:rsidR="00F508CA" w:rsidRDefault="00CE5487" w:rsidP="00F508CA">
      <w:pPr>
        <w:spacing w:line="360" w:lineRule="auto"/>
        <w:ind w:firstLine="709"/>
        <w:jc w:val="both"/>
      </w:pPr>
      <w:r>
        <w:t xml:space="preserve">1.7. </w:t>
      </w:r>
      <w:r w:rsidR="00F82AA7">
        <w:t>В пункте 3.13 Положения слова «</w:t>
      </w:r>
      <w:r w:rsidR="00F82AA7" w:rsidRPr="00F82AA7">
        <w:t>с подпунктом 3.1.2 пункта 3.1</w:t>
      </w:r>
      <w:r w:rsidR="00F82AA7">
        <w:t>» заменить словами «с подпунктами 3.1.2 и 3.1.6 пункта 3.1».</w:t>
      </w:r>
    </w:p>
    <w:p w:rsidR="00F82AA7" w:rsidRDefault="00F82AA7" w:rsidP="00F508CA">
      <w:pPr>
        <w:spacing w:line="360" w:lineRule="auto"/>
        <w:ind w:firstLine="709"/>
        <w:jc w:val="both"/>
      </w:pPr>
      <w:r>
        <w:t>1.8. В подпункте 3.14.1 пункта 3.14 Положения слова «</w:t>
      </w:r>
      <w:r w:rsidRPr="00F82AA7">
        <w:t>пунктом 3.1.2 пункта 3.1</w:t>
      </w:r>
      <w:r>
        <w:t>» заменить словами «</w:t>
      </w:r>
      <w:r w:rsidR="00275999">
        <w:t>подпунктами 3.1.2 и 3.1.6 пункта 3.1».</w:t>
      </w:r>
    </w:p>
    <w:p w:rsidR="00275999" w:rsidRDefault="00275999" w:rsidP="00F508CA">
      <w:pPr>
        <w:spacing w:line="360" w:lineRule="auto"/>
        <w:ind w:firstLine="709"/>
        <w:jc w:val="both"/>
      </w:pPr>
      <w:r>
        <w:t>1.9. Часть 3 Положения дополнить пунктом 3.22(1) следующего содержания:</w:t>
      </w:r>
    </w:p>
    <w:p w:rsidR="00275999" w:rsidRDefault="00275999" w:rsidP="00275999">
      <w:pPr>
        <w:spacing w:line="360" w:lineRule="auto"/>
        <w:ind w:firstLine="709"/>
        <w:jc w:val="both"/>
      </w:pPr>
      <w:r>
        <w:t>«3.22(1). По итогам рассмотрения вопроса, указанного в подпункте 3.1.6 пункта 3.1 настоящего Положения, комиссия принимает одно из следующих решений:</w:t>
      </w:r>
    </w:p>
    <w:p w:rsidR="00275999" w:rsidRDefault="00275999" w:rsidP="00275999">
      <w:pPr>
        <w:spacing w:line="360" w:lineRule="auto"/>
        <w:ind w:firstLine="709"/>
        <w:jc w:val="both"/>
      </w:pPr>
      <w:r>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F82AA7" w:rsidRDefault="00275999" w:rsidP="00275999">
      <w:pPr>
        <w:spacing w:line="360" w:lineRule="auto"/>
        <w:ind w:firstLine="709"/>
        <w:jc w:val="both"/>
      </w:pPr>
      <w:r>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t>.».</w:t>
      </w:r>
      <w:proofErr w:type="gramEnd"/>
    </w:p>
    <w:p w:rsidR="00275999" w:rsidRDefault="00275999" w:rsidP="00275999">
      <w:pPr>
        <w:spacing w:line="360" w:lineRule="auto"/>
        <w:ind w:firstLine="709"/>
        <w:jc w:val="both"/>
      </w:pPr>
      <w:r>
        <w:t xml:space="preserve">1.10. </w:t>
      </w:r>
      <w:r w:rsidR="008F69DF">
        <w:t>Пункт 3.23 Положения изложить в новой редакции следующего содержания:</w:t>
      </w:r>
    </w:p>
    <w:p w:rsidR="00325E1A" w:rsidRDefault="008F69DF" w:rsidP="001E7901">
      <w:pPr>
        <w:spacing w:line="360" w:lineRule="auto"/>
        <w:ind w:firstLine="709"/>
        <w:jc w:val="both"/>
      </w:pPr>
      <w:r>
        <w:t xml:space="preserve">«3.23. </w:t>
      </w:r>
      <w:r w:rsidRPr="008F69DF">
        <w:t xml:space="preserve">По итогам рассмотрения вопросов, указанных в </w:t>
      </w:r>
      <w:r>
        <w:t>подпунктах 3.1.1, 3.1.2, 3.1.4,</w:t>
      </w:r>
      <w:r w:rsidRPr="008F69DF">
        <w:t xml:space="preserve"> 3.1.5 </w:t>
      </w:r>
      <w:r>
        <w:t xml:space="preserve">и 3.1.6 </w:t>
      </w:r>
      <w:r w:rsidRPr="008F69DF">
        <w:t>пункта 3.1 настоящего Положения, и при наличии к тому оснований комиссия может принять иное решение, чем это предусмотрено подпунктами 3.17 - 3.22,</w:t>
      </w:r>
      <w:r>
        <w:t xml:space="preserve"> 3.22(1),</w:t>
      </w:r>
      <w:r w:rsidRPr="008F69DF">
        <w:t xml:space="preserve"> 3.24 пункта 3.1 настоящего </w:t>
      </w:r>
      <w:r w:rsidRPr="008F69DF">
        <w:lastRenderedPageBreak/>
        <w:t>Положения. Основания и мотивы принятия такого решения должны быть отражены в протоколе заседания комиссии</w:t>
      </w:r>
      <w:proofErr w:type="gramStart"/>
      <w:r w:rsidRPr="008F69DF">
        <w:t>.</w:t>
      </w:r>
      <w:r>
        <w:t>».</w:t>
      </w:r>
      <w:proofErr w:type="gramEnd"/>
    </w:p>
    <w:p w:rsidR="000078D8" w:rsidRDefault="000F4EE6" w:rsidP="000078D8">
      <w:pPr>
        <w:spacing w:line="360" w:lineRule="auto"/>
        <w:ind w:firstLine="709"/>
        <w:jc w:val="both"/>
      </w:pPr>
      <w:r>
        <w:t xml:space="preserve">2. Опубликовать настоящее постановление в Муниципальном вестнике </w:t>
      </w:r>
      <w:r w:rsidR="000078D8">
        <w:t>и</w:t>
      </w:r>
      <w:r>
        <w:t xml:space="preserve"> разместить на официальном сайте органов местного самоуправления Мурашинского муниципального округа.</w:t>
      </w:r>
    </w:p>
    <w:p w:rsidR="000078D8" w:rsidRPr="00FD79EA" w:rsidRDefault="000078D8" w:rsidP="004004C4">
      <w:pPr>
        <w:widowControl w:val="0"/>
        <w:jc w:val="both"/>
        <w:rPr>
          <w:sz w:val="72"/>
          <w:szCs w:val="72"/>
        </w:rPr>
      </w:pPr>
    </w:p>
    <w:p w:rsidR="00FD79EA" w:rsidRDefault="00FD79EA" w:rsidP="004004C4">
      <w:pPr>
        <w:widowControl w:val="0"/>
        <w:jc w:val="both"/>
        <w:rPr>
          <w:szCs w:val="28"/>
        </w:rPr>
      </w:pPr>
      <w:r>
        <w:rPr>
          <w:szCs w:val="28"/>
        </w:rPr>
        <w:t>Глава Мурашинского</w:t>
      </w:r>
    </w:p>
    <w:p w:rsidR="000078D8" w:rsidRPr="00B21334" w:rsidRDefault="00FD79EA" w:rsidP="004004C4">
      <w:pPr>
        <w:widowControl w:val="0"/>
        <w:jc w:val="both"/>
        <w:rPr>
          <w:szCs w:val="28"/>
        </w:rPr>
      </w:pPr>
      <w:r>
        <w:rPr>
          <w:szCs w:val="28"/>
        </w:rPr>
        <w:t>муниципального округа</w:t>
      </w:r>
      <w:r w:rsidR="000078D8">
        <w:rPr>
          <w:szCs w:val="28"/>
        </w:rPr>
        <w:tab/>
      </w:r>
      <w:r w:rsidR="000078D8">
        <w:rPr>
          <w:szCs w:val="28"/>
        </w:rPr>
        <w:tab/>
      </w:r>
      <w:r w:rsidR="000078D8">
        <w:rPr>
          <w:szCs w:val="28"/>
        </w:rPr>
        <w:tab/>
      </w:r>
      <w:r w:rsidR="000078D8">
        <w:rPr>
          <w:szCs w:val="28"/>
        </w:rPr>
        <w:tab/>
      </w:r>
      <w:r w:rsidR="000078D8">
        <w:rPr>
          <w:szCs w:val="28"/>
        </w:rPr>
        <w:tab/>
      </w:r>
      <w:r w:rsidR="000078D8">
        <w:rPr>
          <w:szCs w:val="28"/>
        </w:rPr>
        <w:tab/>
      </w:r>
      <w:r>
        <w:rPr>
          <w:szCs w:val="28"/>
        </w:rPr>
        <w:t xml:space="preserve">       С.И. Рябинин</w:t>
      </w:r>
    </w:p>
    <w:p w:rsidR="004004C4" w:rsidRDefault="004004C4" w:rsidP="004004C4">
      <w:pPr>
        <w:jc w:val="both"/>
      </w:pPr>
      <w:r>
        <w:t>________________________________________________________________</w:t>
      </w:r>
      <w:bookmarkStart w:id="0" w:name="_GoBack"/>
      <w:bookmarkEnd w:id="0"/>
    </w:p>
    <w:sectPr w:rsidR="004004C4" w:rsidSect="000078D8">
      <w:pgSz w:w="11906" w:h="16838"/>
      <w:pgMar w:top="1134" w:right="851" w:bottom="709"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AF7" w:rsidRDefault="00980AF7">
      <w:r>
        <w:separator/>
      </w:r>
    </w:p>
  </w:endnote>
  <w:endnote w:type="continuationSeparator" w:id="0">
    <w:p w:rsidR="00980AF7" w:rsidRDefault="0098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AF7" w:rsidRDefault="00980AF7">
      <w:r>
        <w:separator/>
      </w:r>
    </w:p>
  </w:footnote>
  <w:footnote w:type="continuationSeparator" w:id="0">
    <w:p w:rsidR="00980AF7" w:rsidRDefault="00980A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8D37F9"/>
    <w:multiLevelType w:val="hybridMultilevel"/>
    <w:tmpl w:val="C21C3960"/>
    <w:lvl w:ilvl="0" w:tplc="CE1824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70A"/>
    <w:rsid w:val="000078D8"/>
    <w:rsid w:val="0009473A"/>
    <w:rsid w:val="000D2556"/>
    <w:rsid w:val="000F4EE6"/>
    <w:rsid w:val="001E7901"/>
    <w:rsid w:val="00201D73"/>
    <w:rsid w:val="00256798"/>
    <w:rsid w:val="00275999"/>
    <w:rsid w:val="00293F58"/>
    <w:rsid w:val="00325E1A"/>
    <w:rsid w:val="00360A31"/>
    <w:rsid w:val="003E620B"/>
    <w:rsid w:val="004004C4"/>
    <w:rsid w:val="0043353B"/>
    <w:rsid w:val="00523AA8"/>
    <w:rsid w:val="0052498F"/>
    <w:rsid w:val="00527EFB"/>
    <w:rsid w:val="00585141"/>
    <w:rsid w:val="00657D15"/>
    <w:rsid w:val="0067712B"/>
    <w:rsid w:val="006A384B"/>
    <w:rsid w:val="007C03C1"/>
    <w:rsid w:val="00893D69"/>
    <w:rsid w:val="008F69DF"/>
    <w:rsid w:val="00930D48"/>
    <w:rsid w:val="00980AF7"/>
    <w:rsid w:val="00A3704A"/>
    <w:rsid w:val="00A60AE8"/>
    <w:rsid w:val="00B62820"/>
    <w:rsid w:val="00B6426F"/>
    <w:rsid w:val="00BD78CF"/>
    <w:rsid w:val="00C34969"/>
    <w:rsid w:val="00CD0128"/>
    <w:rsid w:val="00CE5487"/>
    <w:rsid w:val="00D13623"/>
    <w:rsid w:val="00DD7264"/>
    <w:rsid w:val="00DE68AC"/>
    <w:rsid w:val="00E5263C"/>
    <w:rsid w:val="00EB170A"/>
    <w:rsid w:val="00EC75B1"/>
    <w:rsid w:val="00F46FB1"/>
    <w:rsid w:val="00F507DA"/>
    <w:rsid w:val="00F508CA"/>
    <w:rsid w:val="00F530A8"/>
    <w:rsid w:val="00F56692"/>
    <w:rsid w:val="00F82AA7"/>
    <w:rsid w:val="00FC068B"/>
    <w:rsid w:val="00FD79EA"/>
    <w:rsid w:val="00FE0FDC"/>
    <w:rsid w:val="00FE5C6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39"/>
    <w:rsid w:val="00BD78C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3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39"/>
    <w:rsid w:val="00BD78CF"/>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51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53D06-31EC-47EA-BB47-8B27F2554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791</Words>
  <Characters>4511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5292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20</cp:revision>
  <cp:lastPrinted>2024-02-12T07:36:00Z</cp:lastPrinted>
  <dcterms:created xsi:type="dcterms:W3CDTF">2024-02-12T06:28:00Z</dcterms:created>
  <dcterms:modified xsi:type="dcterms:W3CDTF">2024-03-11T08:43:00Z</dcterms:modified>
  <dc:language>ru-RU</dc:language>
</cp:coreProperties>
</file>